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B4B1EE" w14:textId="77777777" w:rsidR="00EA567C" w:rsidRDefault="00786B2D">
      <w:pPr>
        <w:pStyle w:val="a0"/>
        <w:tabs>
          <w:tab w:val="right" w:pos="9639"/>
        </w:tabs>
        <w:rPr>
          <w:bCs/>
          <w:i/>
          <w:noProof w:val="0"/>
          <w:sz w:val="32"/>
          <w:highlight w:val="cyan"/>
          <w:lang w:eastAsia="zh-CN"/>
        </w:rPr>
      </w:pPr>
      <w:r>
        <w:rPr>
          <w:sz w:val="24"/>
          <w:lang w:eastAsia="zh-CN"/>
        </w:rPr>
        <w:t>3GPP T</w:t>
      </w:r>
      <w:bookmarkStart w:id="0" w:name="_Ref452454252"/>
      <w:bookmarkEnd w:id="0"/>
      <w:r>
        <w:rPr>
          <w:sz w:val="24"/>
          <w:lang w:eastAsia="zh-CN"/>
        </w:rPr>
        <w:t xml:space="preserve">SG RAN WG2 Meeting #115-e    </w:t>
      </w:r>
      <w:r>
        <w:rPr>
          <w:bCs/>
          <w:noProof w:val="0"/>
          <w:sz w:val="24"/>
        </w:rPr>
        <w:t xml:space="preserve">                                                   </w:t>
      </w:r>
      <w:r>
        <w:rPr>
          <w:bCs/>
          <w:noProof w:val="0"/>
          <w:sz w:val="24"/>
          <w:highlight w:val="yellow"/>
        </w:rPr>
        <w:t>R2-17xxxxx</w:t>
      </w:r>
    </w:p>
    <w:p w14:paraId="15B4B1EF" w14:textId="77777777" w:rsidR="00EA567C" w:rsidRDefault="00786B2D">
      <w:pPr>
        <w:pStyle w:val="CRCoverPage"/>
        <w:spacing w:after="240"/>
        <w:outlineLvl w:val="0"/>
        <w:rPr>
          <w:b/>
          <w:sz w:val="24"/>
        </w:rPr>
      </w:pPr>
      <w:r>
        <w:rPr>
          <w:b/>
          <w:sz w:val="24"/>
        </w:rPr>
        <w:t>Electronic meeting, 16th-27th August 2021</w:t>
      </w:r>
    </w:p>
    <w:p w14:paraId="15B4B1F0" w14:textId="77777777" w:rsidR="00EA567C" w:rsidRDefault="00786B2D">
      <w:pPr>
        <w:pStyle w:val="CRCoverPage"/>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cs="Arial"/>
          <w:bCs/>
          <w:sz w:val="24"/>
          <w:highlight w:val="yellow"/>
          <w:lang w:val="en-US"/>
        </w:rPr>
        <w:t>x.x.x</w:t>
      </w:r>
    </w:p>
    <w:p w14:paraId="15B4B1F1" w14:textId="77777777" w:rsidR="00EA567C" w:rsidRDefault="00786B2D">
      <w:pPr>
        <w:spacing w:after="120"/>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15B4B1F2" w14:textId="77777777" w:rsidR="00EA567C" w:rsidRDefault="00786B2D">
      <w:pPr>
        <w:tabs>
          <w:tab w:val="left" w:pos="1985"/>
        </w:tabs>
        <w:spacing w:after="120"/>
        <w:ind w:left="2880" w:hanging="2880"/>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t>Report of email discussion [Post114-e][507][SData] Non-SDT data arrival handling</w:t>
      </w:r>
    </w:p>
    <w:p w14:paraId="15B4B1F3" w14:textId="77777777" w:rsidR="00EA567C" w:rsidRDefault="00786B2D">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15B4B1F4" w14:textId="77777777" w:rsidR="00EA567C" w:rsidRDefault="00786B2D">
      <w:pPr>
        <w:pStyle w:val="1"/>
        <w:numPr>
          <w:ilvl w:val="0"/>
          <w:numId w:val="2"/>
        </w:numPr>
      </w:pPr>
      <w:bookmarkStart w:id="1" w:name="_Ref73829754"/>
      <w:r>
        <w:t>Introduction</w:t>
      </w:r>
      <w:bookmarkEnd w:id="1"/>
    </w:p>
    <w:p w14:paraId="15B4B1F5" w14:textId="77777777" w:rsidR="00EA567C" w:rsidRDefault="00786B2D">
      <w:pPr>
        <w:spacing w:after="120"/>
        <w:jc w:val="both"/>
        <w:rPr>
          <w:rFonts w:ascii="Times New Roman" w:hAnsi="Times New Roman" w:cs="Times New Roman"/>
          <w:sz w:val="20"/>
          <w:szCs w:val="20"/>
        </w:rPr>
      </w:pPr>
      <w:bookmarkStart w:id="2" w:name="Proposal_Pattern_Length"/>
      <w:r>
        <w:rPr>
          <w:rFonts w:ascii="Times New Roman" w:hAnsi="Times New Roman" w:cs="Times New Roman"/>
          <w:sz w:val="20"/>
          <w:szCs w:val="20"/>
        </w:rPr>
        <w:t xml:space="preserve">The intention is to discuss the following topics as part of the email discussion “[Post114-e][507][SData] Non-SDT data arrival handling” taking into consideration the related proposals on RAN2#114e TDocs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_Ref74122356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_Ref74089097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[22]</w:t>
      </w:r>
      <w:r>
        <w:rPr>
          <w:rFonts w:ascii="Times New Roman" w:hAnsi="Times New Roman" w:cs="Times New Roman"/>
          <w:sz w:val="20"/>
          <w:szCs w:val="20"/>
        </w:rPr>
        <w:fldChar w:fldCharType="end"/>
      </w:r>
      <w:r>
        <w:rPr>
          <w:rFonts w:ascii="Times New Roman" w:hAnsi="Times New Roman" w:cs="Times New Roman"/>
          <w:sz w:val="20"/>
          <w:szCs w:val="20"/>
        </w:rPr>
        <w:t xml:space="preserve"> and in preparation for responses to be received from SA3 and CT1 in relation to previous RAN2 LSs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_Ref74222895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_Ref74222897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[24]</w:t>
      </w:r>
      <w:r>
        <w:rPr>
          <w:rFonts w:ascii="Times New Roman" w:hAnsi="Times New Roman" w:cs="Times New Roman"/>
          <w:sz w:val="20"/>
          <w:szCs w:val="20"/>
        </w:rPr>
        <w:fldChar w:fldCharType="end"/>
      </w:r>
      <w:r>
        <w:rPr>
          <w:rFonts w:ascii="Times New Roman" w:hAnsi="Times New Roman" w:cs="Times New Roman"/>
          <w:sz w:val="20"/>
          <w:szCs w:val="20"/>
        </w:rPr>
        <w:t>.</w:t>
      </w:r>
    </w:p>
    <w:p w14:paraId="15B4B1F6" w14:textId="77777777" w:rsidR="00EA567C" w:rsidRDefault="00786B2D">
      <w:pPr>
        <w:pStyle w:val="EmailDiscussion"/>
        <w:tabs>
          <w:tab w:val="clear" w:pos="1619"/>
          <w:tab w:val="num" w:pos="720"/>
        </w:tabs>
        <w:ind w:left="720"/>
        <w:rPr>
          <w:sz w:val="18"/>
          <w:szCs w:val="18"/>
          <w:lang w:val="en-US"/>
        </w:rPr>
      </w:pPr>
      <w:bookmarkStart w:id="3" w:name="_Hlk74226727"/>
      <w:r>
        <w:rPr>
          <w:sz w:val="18"/>
          <w:szCs w:val="18"/>
          <w:lang w:val="en-US"/>
        </w:rPr>
        <w:t>[Post114-e][507][SData] Non-SDT data arrival handling (Intel)</w:t>
      </w:r>
    </w:p>
    <w:p w14:paraId="15B4B1F7" w14:textId="77777777" w:rsidR="00EA567C" w:rsidRDefault="00786B2D">
      <w:pPr>
        <w:pStyle w:val="EmailDiscussion2"/>
        <w:ind w:left="720" w:firstLine="0"/>
        <w:rPr>
          <w:b/>
          <w:bCs/>
          <w:sz w:val="18"/>
          <w:szCs w:val="18"/>
          <w:lang w:val="en-US"/>
        </w:rPr>
      </w:pPr>
      <w:r>
        <w:rPr>
          <w:b/>
          <w:bCs/>
          <w:sz w:val="18"/>
          <w:szCs w:val="18"/>
          <w:lang w:val="en-US"/>
        </w:rPr>
        <w:t>Scope:</w:t>
      </w:r>
    </w:p>
    <w:p w14:paraId="15B4B1F8" w14:textId="77777777" w:rsidR="00EA567C" w:rsidRDefault="00786B2D">
      <w:pPr>
        <w:pStyle w:val="EmailDiscussion2"/>
        <w:numPr>
          <w:ilvl w:val="1"/>
          <w:numId w:val="26"/>
        </w:numPr>
        <w:rPr>
          <w:szCs w:val="20"/>
          <w:highlight w:val="yellow"/>
          <w:lang w:val="en-US"/>
        </w:rPr>
      </w:pPr>
      <w:r>
        <w:rPr>
          <w:szCs w:val="20"/>
          <w:highlight w:val="yellow"/>
          <w:lang w:val="en-US"/>
        </w:rPr>
        <w:t>Phase 1 (identify the open issues/questions) – 5 days</w:t>
      </w:r>
    </w:p>
    <w:p w14:paraId="15B4B1F9" w14:textId="77777777" w:rsidR="00EA567C" w:rsidRDefault="00786B2D">
      <w:pPr>
        <w:pStyle w:val="EmailDiscussion2"/>
        <w:numPr>
          <w:ilvl w:val="1"/>
          <w:numId w:val="26"/>
        </w:numPr>
        <w:rPr>
          <w:sz w:val="18"/>
          <w:szCs w:val="18"/>
          <w:lang w:val="en-US"/>
        </w:rPr>
      </w:pPr>
      <w:r>
        <w:rPr>
          <w:sz w:val="18"/>
          <w:szCs w:val="18"/>
          <w:lang w:val="en-US"/>
        </w:rPr>
        <w:t xml:space="preserve">Phase 2 (collect the company views on open issues/questions) </w:t>
      </w:r>
    </w:p>
    <w:p w14:paraId="15B4B1FA" w14:textId="77777777" w:rsidR="00EA567C" w:rsidRDefault="00786B2D">
      <w:pPr>
        <w:pStyle w:val="EmailDiscussion2"/>
        <w:numPr>
          <w:ilvl w:val="1"/>
          <w:numId w:val="26"/>
        </w:numPr>
        <w:rPr>
          <w:sz w:val="18"/>
          <w:szCs w:val="18"/>
          <w:lang w:val="en-US"/>
        </w:rPr>
      </w:pPr>
      <w:r>
        <w:rPr>
          <w:sz w:val="18"/>
          <w:szCs w:val="18"/>
          <w:lang w:val="en-US"/>
        </w:rPr>
        <w:t>Phase 3 (</w:t>
      </w:r>
      <w:r>
        <w:rPr>
          <w:sz w:val="18"/>
          <w:szCs w:val="18"/>
        </w:rPr>
        <w:t>collect companies view on preferred solution CCCH vs. DCCH with the aim to down-select</w:t>
      </w:r>
      <w:r>
        <w:rPr>
          <w:sz w:val="18"/>
          <w:szCs w:val="18"/>
          <w:lang w:val="en-US"/>
        </w:rPr>
        <w:t>)</w:t>
      </w:r>
    </w:p>
    <w:p w14:paraId="15B4B1FB" w14:textId="77777777" w:rsidR="00EA567C" w:rsidRDefault="00786B2D">
      <w:pPr>
        <w:pStyle w:val="EmailDiscussion2"/>
        <w:ind w:left="720" w:firstLine="0"/>
        <w:rPr>
          <w:b/>
          <w:bCs/>
          <w:sz w:val="18"/>
          <w:szCs w:val="18"/>
          <w:lang w:val="en-US"/>
        </w:rPr>
      </w:pPr>
      <w:r>
        <w:rPr>
          <w:b/>
          <w:bCs/>
          <w:sz w:val="18"/>
          <w:szCs w:val="18"/>
          <w:lang w:val="en-US"/>
        </w:rPr>
        <w:t>Email discussion to focus on:</w:t>
      </w:r>
    </w:p>
    <w:p w14:paraId="15B4B1FC" w14:textId="77777777" w:rsidR="00EA567C" w:rsidRDefault="00786B2D">
      <w:pPr>
        <w:pStyle w:val="EmailDiscussion2"/>
        <w:ind w:left="1446"/>
        <w:rPr>
          <w:sz w:val="18"/>
          <w:szCs w:val="18"/>
          <w:lang w:val="en-US"/>
        </w:rPr>
      </w:pPr>
      <w:r>
        <w:rPr>
          <w:sz w:val="18"/>
          <w:szCs w:val="18"/>
          <w:lang w:val="en-US"/>
        </w:rPr>
        <w:t xml:space="preserve">a. Develop details of both solutions (CCCH and DCCH) and identify any further impacts to other WGs (e.g. RAN3) </w:t>
      </w:r>
    </w:p>
    <w:p w14:paraId="15B4B1FD" w14:textId="77777777" w:rsidR="00EA567C" w:rsidRDefault="00786B2D">
      <w:pPr>
        <w:pStyle w:val="EmailDiscussion2"/>
        <w:ind w:left="1446"/>
        <w:rPr>
          <w:sz w:val="18"/>
          <w:szCs w:val="18"/>
          <w:lang w:val="en-US"/>
        </w:rPr>
      </w:pPr>
      <w:r>
        <w:rPr>
          <w:sz w:val="18"/>
          <w:szCs w:val="18"/>
          <w:lang w:val="en-US"/>
        </w:rPr>
        <w:t xml:space="preserve">b.  Develop details of how cell reselection could be handled (considering possible repetition of security material) and check if we could agree to support optimised handling of cell reselection </w:t>
      </w:r>
    </w:p>
    <w:p w14:paraId="15B4B1FE" w14:textId="77777777" w:rsidR="00EA567C" w:rsidRDefault="00786B2D">
      <w:pPr>
        <w:pStyle w:val="EmailDiscussion2"/>
        <w:ind w:left="1449"/>
        <w:rPr>
          <w:sz w:val="18"/>
          <w:szCs w:val="18"/>
        </w:rPr>
      </w:pPr>
      <w:r>
        <w:rPr>
          <w:sz w:val="18"/>
          <w:szCs w:val="18"/>
          <w:lang w:val="en-US"/>
        </w:rPr>
        <w:t xml:space="preserve">c.  Can consider SA3/CT1 discussions into where appropriate.  </w:t>
      </w:r>
      <w:r>
        <w:rPr>
          <w:sz w:val="18"/>
          <w:szCs w:val="18"/>
        </w:rPr>
        <w:t xml:space="preserve">      </w:t>
      </w:r>
    </w:p>
    <w:p w14:paraId="15B4B1FF" w14:textId="77777777" w:rsidR="00EA567C" w:rsidRDefault="00786B2D">
      <w:pPr>
        <w:pStyle w:val="EmailDiscussion2"/>
        <w:ind w:left="720" w:firstLine="0"/>
        <w:rPr>
          <w:sz w:val="18"/>
          <w:szCs w:val="18"/>
        </w:rPr>
      </w:pPr>
      <w:r>
        <w:rPr>
          <w:b/>
          <w:sz w:val="18"/>
          <w:szCs w:val="18"/>
        </w:rPr>
        <w:t>Intended outcome</w:t>
      </w:r>
      <w:r>
        <w:rPr>
          <w:sz w:val="18"/>
          <w:szCs w:val="18"/>
        </w:rPr>
        <w:t>: Report with agreeable proposals</w:t>
      </w:r>
    </w:p>
    <w:p w14:paraId="15B4B200" w14:textId="77777777" w:rsidR="00EA567C" w:rsidRDefault="00EA567C">
      <w:pPr>
        <w:pStyle w:val="EmailDiscussion2"/>
        <w:ind w:left="720" w:firstLine="0"/>
        <w:rPr>
          <w:sz w:val="18"/>
          <w:szCs w:val="18"/>
          <w:lang w:val="en-US"/>
        </w:rPr>
      </w:pPr>
    </w:p>
    <w:p w14:paraId="15B4B201" w14:textId="77777777" w:rsidR="00EA567C" w:rsidRDefault="00786B2D">
      <w:pPr>
        <w:pStyle w:val="EmailDiscussion2"/>
        <w:ind w:left="720" w:firstLine="0"/>
        <w:rPr>
          <w:b/>
          <w:bCs/>
          <w:sz w:val="18"/>
          <w:szCs w:val="18"/>
          <w:lang w:val="en-US"/>
        </w:rPr>
      </w:pPr>
      <w:r>
        <w:rPr>
          <w:b/>
          <w:bCs/>
          <w:sz w:val="18"/>
          <w:szCs w:val="18"/>
          <w:lang w:val="en-US"/>
        </w:rPr>
        <w:t>Email discussion deadline:</w:t>
      </w:r>
      <w:r>
        <w:rPr>
          <w:sz w:val="18"/>
          <w:szCs w:val="18"/>
          <w:lang w:val="en-US"/>
        </w:rPr>
        <w:t xml:space="preserve"> August 6th, 0900 UTC </w:t>
      </w:r>
    </w:p>
    <w:p w14:paraId="15B4B202" w14:textId="77777777" w:rsidR="00EA567C" w:rsidRDefault="00786B2D">
      <w:pPr>
        <w:pStyle w:val="EmailDiscussion2"/>
        <w:ind w:left="1083"/>
        <w:rPr>
          <w:sz w:val="18"/>
          <w:szCs w:val="18"/>
        </w:rPr>
      </w:pPr>
      <w:r>
        <w:rPr>
          <w:b/>
          <w:sz w:val="18"/>
          <w:szCs w:val="18"/>
        </w:rPr>
        <w:t>Note</w:t>
      </w:r>
      <w:r>
        <w:rPr>
          <w:sz w:val="18"/>
          <w:szCs w:val="18"/>
        </w:rPr>
        <w:t>: silent period is July 5-30 (may be updated during TSG RAN)</w:t>
      </w:r>
    </w:p>
    <w:p w14:paraId="15B4B203" w14:textId="77777777" w:rsidR="00EA567C" w:rsidRDefault="00786B2D">
      <w:pPr>
        <w:pStyle w:val="2"/>
      </w:pPr>
      <w:r>
        <w:rPr>
          <w:lang w:val="en-US"/>
        </w:rPr>
        <w:t>2</w:t>
      </w:r>
      <w:r>
        <w:rPr>
          <w:vertAlign w:val="superscript"/>
          <w:lang w:val="en-US"/>
        </w:rPr>
        <w:t>nd</w:t>
      </w:r>
      <w:r>
        <w:rPr>
          <w:lang w:val="en-US"/>
        </w:rPr>
        <w:t xml:space="preserve"> </w:t>
      </w:r>
      <w:r>
        <w:t>Phase: Introdution</w:t>
      </w:r>
    </w:p>
    <w:p w14:paraId="15B4B204" w14:textId="77777777" w:rsidR="00EA567C" w:rsidRDefault="00786B2D">
      <w:pPr>
        <w:tabs>
          <w:tab w:val="left" w:pos="1327"/>
        </w:tabs>
        <w:spacing w:after="120"/>
        <w:jc w:val="both"/>
        <w:rPr>
          <w:rFonts w:ascii="Times New Roman" w:hAnsi="Times New Roman" w:cs="Times New Roman"/>
          <w:b/>
          <w:bCs/>
          <w:sz w:val="20"/>
          <w:szCs w:val="20"/>
        </w:rPr>
      </w:pPr>
      <w:r>
        <w:rPr>
          <w:rFonts w:ascii="Times New Roman" w:hAnsi="Times New Roman" w:cs="Times New Roman"/>
          <w:color w:val="0000CC"/>
          <w:sz w:val="20"/>
          <w:szCs w:val="20"/>
        </w:rPr>
        <w:t xml:space="preserve">The </w:t>
      </w:r>
      <w:r>
        <w:rPr>
          <w:rFonts w:ascii="Times New Roman" w:hAnsi="Times New Roman" w:cs="Times New Roman"/>
          <w:b/>
          <w:color w:val="0000CC"/>
          <w:sz w:val="20"/>
          <w:szCs w:val="20"/>
        </w:rPr>
        <w:t>deadline for the 2</w:t>
      </w:r>
      <w:r>
        <w:rPr>
          <w:rFonts w:ascii="Times New Roman" w:hAnsi="Times New Roman" w:cs="Times New Roman"/>
          <w:b/>
          <w:color w:val="0000CC"/>
          <w:sz w:val="20"/>
          <w:szCs w:val="20"/>
          <w:vertAlign w:val="superscript"/>
        </w:rPr>
        <w:t>nd</w:t>
      </w:r>
      <w:r>
        <w:rPr>
          <w:rFonts w:ascii="Times New Roman" w:hAnsi="Times New Roman" w:cs="Times New Roman"/>
          <w:b/>
          <w:color w:val="0000CC"/>
          <w:sz w:val="20"/>
          <w:szCs w:val="20"/>
        </w:rPr>
        <w:t xml:space="preserve"> phase</w:t>
      </w:r>
      <w:r>
        <w:rPr>
          <w:rFonts w:ascii="Times New Roman" w:hAnsi="Times New Roman" w:cs="Times New Roman"/>
          <w:color w:val="0000CC"/>
          <w:sz w:val="20"/>
          <w:szCs w:val="20"/>
        </w:rPr>
        <w:t xml:space="preserve"> of this email discussion is</w:t>
      </w:r>
      <w:r>
        <w:rPr>
          <w:rFonts w:ascii="Times New Roman" w:hAnsi="Times New Roman" w:cs="Times New Roman"/>
          <w:b/>
          <w:bCs/>
          <w:color w:val="0000CC"/>
          <w:sz w:val="20"/>
          <w:szCs w:val="20"/>
        </w:rPr>
        <w:t xml:space="preserve"> </w:t>
      </w:r>
      <w:r>
        <w:rPr>
          <w:rFonts w:ascii="Times New Roman" w:hAnsi="Times New Roman" w:cs="Times New Roman"/>
          <w:b/>
          <w:bCs/>
          <w:color w:val="FF0000"/>
          <w:sz w:val="20"/>
          <w:szCs w:val="20"/>
        </w:rPr>
        <w:t>Monday July 26</w:t>
      </w:r>
      <w:r>
        <w:rPr>
          <w:rFonts w:ascii="Times New Roman" w:hAnsi="Times New Roman" w:cs="Times New Roman"/>
          <w:b/>
          <w:bCs/>
          <w:color w:val="FF0000"/>
          <w:sz w:val="20"/>
          <w:szCs w:val="20"/>
          <w:vertAlign w:val="superscript"/>
        </w:rPr>
        <w:t>th</w:t>
      </w:r>
      <w:r>
        <w:rPr>
          <w:rFonts w:ascii="Times New Roman" w:hAnsi="Times New Roman" w:cs="Times New Roman"/>
          <w:b/>
          <w:bCs/>
          <w:color w:val="FF0000"/>
          <w:sz w:val="20"/>
          <w:szCs w:val="20"/>
        </w:rPr>
        <w:t>, 2300 UTC</w:t>
      </w:r>
      <w:r>
        <w:rPr>
          <w:rFonts w:ascii="Times New Roman" w:hAnsi="Times New Roman" w:cs="Times New Roman"/>
          <w:b/>
          <w:bCs/>
          <w:sz w:val="20"/>
          <w:szCs w:val="20"/>
        </w:rPr>
        <w:t>.</w:t>
      </w:r>
    </w:p>
    <w:p w14:paraId="15B4B205" w14:textId="77777777" w:rsidR="00EA567C" w:rsidRDefault="00786B2D">
      <w:pPr>
        <w:tabs>
          <w:tab w:val="left" w:pos="1327"/>
        </w:tabs>
        <w:spacing w:after="120"/>
        <w:jc w:val="both"/>
        <w:rPr>
          <w:rFonts w:ascii="Times New Roman" w:hAnsi="Times New Roman" w:cs="Times New Roman"/>
          <w:color w:val="0000CC"/>
          <w:sz w:val="20"/>
          <w:szCs w:val="20"/>
        </w:rPr>
      </w:pPr>
      <w:r>
        <w:rPr>
          <w:rFonts w:ascii="Times New Roman" w:hAnsi="Times New Roman" w:cs="Times New Roman"/>
          <w:color w:val="0000CC"/>
          <w:sz w:val="20"/>
          <w:szCs w:val="20"/>
        </w:rPr>
        <w:t>This 2</w:t>
      </w:r>
      <w:r>
        <w:rPr>
          <w:rFonts w:ascii="Times New Roman" w:hAnsi="Times New Roman" w:cs="Times New Roman"/>
          <w:color w:val="0000CC"/>
          <w:sz w:val="20"/>
          <w:szCs w:val="20"/>
          <w:vertAlign w:val="superscript"/>
        </w:rPr>
        <w:t>nd</w:t>
      </w:r>
      <w:r>
        <w:rPr>
          <w:rFonts w:ascii="Times New Roman" w:hAnsi="Times New Roman" w:cs="Times New Roman"/>
          <w:color w:val="0000CC"/>
          <w:sz w:val="20"/>
          <w:szCs w:val="20"/>
        </w:rPr>
        <w:t xml:space="preserve"> phase focuses on collecting companies’ views to better understand the technical details of the proposed solutions. The discussion points addressed during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 and companies’ responses provided during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 are </w:t>
      </w:r>
      <w:r>
        <w:rPr>
          <w:rFonts w:ascii="Times New Roman" w:hAnsi="Times New Roman" w:cs="Times New Roman"/>
          <w:b/>
          <w:bCs/>
          <w:color w:val="A6A6A6" w:themeColor="background1" w:themeShade="A6"/>
          <w:sz w:val="20"/>
          <w:szCs w:val="20"/>
        </w:rPr>
        <w:t>greyed out</w:t>
      </w:r>
      <w:r>
        <w:rPr>
          <w:rFonts w:ascii="Times New Roman" w:hAnsi="Times New Roman" w:cs="Times New Roman"/>
          <w:sz w:val="20"/>
          <w:szCs w:val="20"/>
        </w:rPr>
        <w:t xml:space="preserve"> </w:t>
      </w:r>
      <w:r>
        <w:rPr>
          <w:rFonts w:ascii="Times New Roman" w:hAnsi="Times New Roman" w:cs="Times New Roman"/>
          <w:color w:val="0000CC"/>
          <w:sz w:val="20"/>
          <w:szCs w:val="20"/>
        </w:rPr>
        <w:t>to avoid confusions. New questions (marked as Q.x and with a corresponding sub-section header) are added for companies to provide their views during this 2</w:t>
      </w:r>
      <w:r>
        <w:rPr>
          <w:rFonts w:ascii="Times New Roman" w:hAnsi="Times New Roman" w:cs="Times New Roman"/>
          <w:color w:val="0000CC"/>
          <w:sz w:val="20"/>
          <w:szCs w:val="20"/>
          <w:vertAlign w:val="superscript"/>
        </w:rPr>
        <w:t>nd</w:t>
      </w:r>
      <w:r>
        <w:rPr>
          <w:rFonts w:ascii="Times New Roman" w:hAnsi="Times New Roman" w:cs="Times New Roman"/>
          <w:color w:val="0000CC"/>
          <w:sz w:val="20"/>
          <w:szCs w:val="20"/>
        </w:rPr>
        <w:t xml:space="preserve"> phase. Blue color is used to mark changes/inputs done during this 2</w:t>
      </w:r>
      <w:r>
        <w:rPr>
          <w:rFonts w:ascii="Times New Roman" w:hAnsi="Times New Roman" w:cs="Times New Roman"/>
          <w:color w:val="0000CC"/>
          <w:sz w:val="20"/>
          <w:szCs w:val="20"/>
          <w:vertAlign w:val="superscript"/>
        </w:rPr>
        <w:t>nd</w:t>
      </w:r>
      <w:r>
        <w:rPr>
          <w:rFonts w:ascii="Times New Roman" w:hAnsi="Times New Roman" w:cs="Times New Roman"/>
          <w:color w:val="0000CC"/>
          <w:sz w:val="20"/>
          <w:szCs w:val="20"/>
        </w:rPr>
        <w:t xml:space="preserve"> phase.</w:t>
      </w:r>
    </w:p>
    <w:p w14:paraId="15B4B206" w14:textId="77777777" w:rsidR="00EA567C" w:rsidRDefault="00786B2D">
      <w:pPr>
        <w:pStyle w:val="2"/>
      </w:pPr>
      <w:bookmarkStart w:id="4" w:name="_Ref75305880"/>
      <w:r>
        <w:t>1</w:t>
      </w:r>
      <w:r>
        <w:rPr>
          <w:vertAlign w:val="superscript"/>
        </w:rPr>
        <w:t>st</w:t>
      </w:r>
      <w:r>
        <w:t xml:space="preserve"> Phase</w:t>
      </w:r>
      <w:bookmarkEnd w:id="4"/>
    </w:p>
    <w:p w14:paraId="15B4B207" w14:textId="77777777" w:rsidR="00EA567C" w:rsidRDefault="00786B2D">
      <w:pPr>
        <w:pStyle w:val="3"/>
      </w:pPr>
      <w:r>
        <w:t>1</w:t>
      </w:r>
      <w:r>
        <w:rPr>
          <w:vertAlign w:val="superscript"/>
        </w:rPr>
        <w:t>st</w:t>
      </w:r>
      <w:r>
        <w:t xml:space="preserve"> Phase: Introduction</w:t>
      </w:r>
    </w:p>
    <w:p w14:paraId="15B4B208" w14:textId="77777777" w:rsidR="00EA567C" w:rsidRDefault="00786B2D">
      <w:pPr>
        <w:tabs>
          <w:tab w:val="left" w:pos="1327"/>
        </w:tabs>
        <w:spacing w:after="180"/>
        <w:jc w:val="both"/>
        <w:rPr>
          <w:rFonts w:ascii="Times New Roman" w:hAnsi="Times New Roman" w:cs="Times New Roman"/>
          <w:b/>
          <w:bCs/>
          <w:color w:val="A6A6A6" w:themeColor="background1" w:themeShade="A6"/>
          <w:sz w:val="20"/>
          <w:szCs w:val="20"/>
        </w:rPr>
      </w:pPr>
      <w:r>
        <w:rPr>
          <w:rFonts w:ascii="Times New Roman" w:hAnsi="Times New Roman" w:cs="Times New Roman"/>
          <w:color w:val="A6A6A6" w:themeColor="background1" w:themeShade="A6"/>
          <w:sz w:val="20"/>
          <w:szCs w:val="20"/>
        </w:rPr>
        <w:t xml:space="preserve">The </w:t>
      </w:r>
      <w:r>
        <w:rPr>
          <w:rFonts w:ascii="Times New Roman" w:hAnsi="Times New Roman" w:cs="Times New Roman"/>
          <w:b/>
          <w:color w:val="A6A6A6" w:themeColor="background1" w:themeShade="A6"/>
          <w:sz w:val="20"/>
          <w:szCs w:val="20"/>
        </w:rPr>
        <w:t>deadline for this 1</w:t>
      </w:r>
      <w:r>
        <w:rPr>
          <w:rFonts w:ascii="Times New Roman" w:hAnsi="Times New Roman" w:cs="Times New Roman"/>
          <w:b/>
          <w:color w:val="A6A6A6" w:themeColor="background1" w:themeShade="A6"/>
          <w:sz w:val="20"/>
          <w:szCs w:val="20"/>
          <w:vertAlign w:val="superscript"/>
        </w:rPr>
        <w:t>st</w:t>
      </w:r>
      <w:r>
        <w:rPr>
          <w:rFonts w:ascii="Times New Roman" w:hAnsi="Times New Roman" w:cs="Times New Roman"/>
          <w:b/>
          <w:color w:val="A6A6A6" w:themeColor="background1" w:themeShade="A6"/>
          <w:sz w:val="20"/>
          <w:szCs w:val="20"/>
        </w:rPr>
        <w:t xml:space="preserve"> phase</w:t>
      </w:r>
      <w:r>
        <w:rPr>
          <w:rFonts w:ascii="Times New Roman" w:hAnsi="Times New Roman" w:cs="Times New Roman"/>
          <w:color w:val="A6A6A6" w:themeColor="background1" w:themeShade="A6"/>
          <w:sz w:val="20"/>
          <w:szCs w:val="20"/>
        </w:rPr>
        <w:t xml:space="preserve"> of email discussion is</w:t>
      </w:r>
      <w:r>
        <w:rPr>
          <w:rFonts w:ascii="Times New Roman" w:hAnsi="Times New Roman" w:cs="Times New Roman"/>
          <w:b/>
          <w:bCs/>
          <w:color w:val="A6A6A6" w:themeColor="background1" w:themeShade="A6"/>
          <w:sz w:val="20"/>
          <w:szCs w:val="20"/>
        </w:rPr>
        <w:t xml:space="preserve"> Friday June 18</w:t>
      </w:r>
      <w:r>
        <w:rPr>
          <w:rFonts w:ascii="Times New Roman" w:hAnsi="Times New Roman" w:cs="Times New Roman"/>
          <w:b/>
          <w:bCs/>
          <w:color w:val="A6A6A6" w:themeColor="background1" w:themeShade="A6"/>
          <w:sz w:val="20"/>
          <w:szCs w:val="20"/>
          <w:vertAlign w:val="superscript"/>
        </w:rPr>
        <w:t>th</w:t>
      </w:r>
      <w:r>
        <w:rPr>
          <w:rFonts w:ascii="Times New Roman" w:hAnsi="Times New Roman" w:cs="Times New Roman"/>
          <w:b/>
          <w:bCs/>
          <w:color w:val="A6A6A6" w:themeColor="background1" w:themeShade="A6"/>
          <w:sz w:val="20"/>
          <w:szCs w:val="20"/>
        </w:rPr>
        <w:t>, 0900 UTC.</w:t>
      </w:r>
    </w:p>
    <w:p w14:paraId="15B4B209" w14:textId="77777777" w:rsidR="00EA567C" w:rsidRDefault="00786B2D">
      <w:pPr>
        <w:tabs>
          <w:tab w:val="left" w:pos="1327"/>
        </w:tabs>
        <w:spacing w:after="60"/>
        <w:jc w:val="both"/>
        <w:rPr>
          <w:rFonts w:ascii="Times New Roman" w:hAnsi="Times New Roman" w:cs="Times New Roman"/>
          <w:color w:val="A6A6A6" w:themeColor="background1" w:themeShade="A6"/>
          <w:sz w:val="20"/>
          <w:szCs w:val="20"/>
        </w:rPr>
      </w:pPr>
      <w:r>
        <w:rPr>
          <w:rFonts w:ascii="Times New Roman" w:hAnsi="Times New Roman" w:cs="Times New Roman"/>
          <w:color w:val="A6A6A6" w:themeColor="background1" w:themeShade="A6"/>
          <w:sz w:val="20"/>
          <w:szCs w:val="20"/>
        </w:rPr>
        <w:t xml:space="preserve">The </w:t>
      </w:r>
      <w:r>
        <w:rPr>
          <w:rFonts w:ascii="Times New Roman" w:hAnsi="Times New Roman" w:cs="Times New Roman"/>
          <w:b/>
          <w:bCs/>
          <w:color w:val="A6A6A6" w:themeColor="background1" w:themeShade="A6"/>
          <w:sz w:val="20"/>
          <w:szCs w:val="20"/>
        </w:rPr>
        <w:t>1</w:t>
      </w:r>
      <w:r>
        <w:rPr>
          <w:rFonts w:ascii="Times New Roman" w:hAnsi="Times New Roman" w:cs="Times New Roman"/>
          <w:b/>
          <w:bCs/>
          <w:color w:val="A6A6A6" w:themeColor="background1" w:themeShade="A6"/>
          <w:sz w:val="20"/>
          <w:szCs w:val="20"/>
          <w:vertAlign w:val="superscript"/>
        </w:rPr>
        <w:t>st</w:t>
      </w:r>
      <w:r>
        <w:rPr>
          <w:rFonts w:ascii="Times New Roman" w:hAnsi="Times New Roman" w:cs="Times New Roman"/>
          <w:b/>
          <w:bCs/>
          <w:color w:val="A6A6A6" w:themeColor="background1" w:themeShade="A6"/>
          <w:sz w:val="20"/>
          <w:szCs w:val="20"/>
        </w:rPr>
        <w:t xml:space="preserve"> phase</w:t>
      </w:r>
      <w:r>
        <w:rPr>
          <w:rFonts w:ascii="Times New Roman" w:hAnsi="Times New Roman" w:cs="Times New Roman"/>
          <w:color w:val="A6A6A6" w:themeColor="background1" w:themeShade="A6"/>
          <w:sz w:val="20"/>
          <w:szCs w:val="20"/>
        </w:rPr>
        <w:t xml:space="preserve"> of this email discussion provides an overview of the discussion points for the above scenarios that were identified in the contributions.   Companies are invited to provide inputs on any missing topics/questions that need to also be included. Issues impacting other groups (e.g., RAN3) can also be listed.  These issues are to be addressed in more detail with possible solutions during the 2</w:t>
      </w:r>
      <w:r>
        <w:rPr>
          <w:rFonts w:ascii="Times New Roman" w:hAnsi="Times New Roman" w:cs="Times New Roman"/>
          <w:color w:val="A6A6A6" w:themeColor="background1" w:themeShade="A6"/>
          <w:sz w:val="20"/>
          <w:szCs w:val="20"/>
          <w:vertAlign w:val="superscript"/>
        </w:rPr>
        <w:t>nd</w:t>
      </w:r>
      <w:r>
        <w:rPr>
          <w:rFonts w:ascii="Times New Roman" w:hAnsi="Times New Roman" w:cs="Times New Roman"/>
          <w:color w:val="A6A6A6" w:themeColor="background1" w:themeShade="A6"/>
          <w:sz w:val="20"/>
          <w:szCs w:val="20"/>
        </w:rPr>
        <w:t xml:space="preserve"> phase. </w:t>
      </w:r>
    </w:p>
    <w:bookmarkEnd w:id="3"/>
    <w:p w14:paraId="15B4B20A" w14:textId="77777777" w:rsidR="00EA567C" w:rsidRDefault="00786B2D">
      <w:pPr>
        <w:tabs>
          <w:tab w:val="left" w:pos="1327"/>
        </w:tabs>
        <w:spacing w:after="60"/>
        <w:jc w:val="both"/>
        <w:rPr>
          <w:rFonts w:ascii="Times New Roman" w:hAnsi="Times New Roman" w:cs="Times New Roman"/>
          <w:color w:val="A6A6A6" w:themeColor="background1" w:themeShade="A6"/>
          <w:sz w:val="20"/>
          <w:szCs w:val="20"/>
        </w:rPr>
      </w:pPr>
      <w:r>
        <w:rPr>
          <w:rFonts w:ascii="Times New Roman" w:hAnsi="Times New Roman" w:cs="Times New Roman"/>
          <w:color w:val="A6A6A6" w:themeColor="background1" w:themeShade="A6"/>
          <w:sz w:val="20"/>
          <w:szCs w:val="20"/>
        </w:rPr>
        <w:lastRenderedPageBreak/>
        <w:t xml:space="preserve">For completion of the solutions and to acknowledge companies’ inputs, observations (with their corresponding description and references) are also included to capture points that seem straight forward (i.e. the suggestion is </w:t>
      </w:r>
      <w:r>
        <w:rPr>
          <w:rFonts w:ascii="Times New Roman" w:hAnsi="Times New Roman" w:cs="Times New Roman"/>
          <w:color w:val="A6A6A6" w:themeColor="background1" w:themeShade="A6"/>
          <w:sz w:val="20"/>
          <w:szCs w:val="20"/>
          <w:u w:val="single"/>
        </w:rPr>
        <w:t>not</w:t>
      </w:r>
      <w:r>
        <w:rPr>
          <w:rFonts w:ascii="Times New Roman" w:hAnsi="Times New Roman" w:cs="Times New Roman"/>
          <w:color w:val="A6A6A6" w:themeColor="background1" w:themeShade="A6"/>
          <w:sz w:val="20"/>
          <w:szCs w:val="20"/>
        </w:rPr>
        <w:t xml:space="preserve"> to include a related discussion point for them in the 2</w:t>
      </w:r>
      <w:r>
        <w:rPr>
          <w:rFonts w:ascii="Times New Roman" w:hAnsi="Times New Roman" w:cs="Times New Roman"/>
          <w:color w:val="A6A6A6" w:themeColor="background1" w:themeShade="A6"/>
          <w:sz w:val="20"/>
          <w:szCs w:val="20"/>
          <w:vertAlign w:val="superscript"/>
        </w:rPr>
        <w:t>nd</w:t>
      </w:r>
      <w:r>
        <w:rPr>
          <w:rFonts w:ascii="Times New Roman" w:hAnsi="Times New Roman" w:cs="Times New Roman"/>
          <w:color w:val="A6A6A6" w:themeColor="background1" w:themeShade="A6"/>
          <w:sz w:val="20"/>
          <w:szCs w:val="20"/>
        </w:rPr>
        <w:t xml:space="preserve"> phase).</w:t>
      </w:r>
    </w:p>
    <w:p w14:paraId="15B4B20B" w14:textId="77777777" w:rsidR="00EA567C" w:rsidRDefault="00786B2D">
      <w:pPr>
        <w:pStyle w:val="3"/>
      </w:pPr>
      <w:bookmarkStart w:id="5" w:name="_Ref75216011"/>
      <w:r>
        <w:t>1</w:t>
      </w:r>
      <w:r>
        <w:rPr>
          <w:vertAlign w:val="superscript"/>
        </w:rPr>
        <w:t>st</w:t>
      </w:r>
      <w:r>
        <w:t xml:space="preserve"> Phase: Report</w:t>
      </w:r>
      <w:bookmarkEnd w:id="5"/>
    </w:p>
    <w:p w14:paraId="15B4B20C" w14:textId="77777777" w:rsidR="00EA567C" w:rsidRDefault="00786B2D">
      <w:pPr>
        <w:tabs>
          <w:tab w:val="left" w:pos="1327"/>
        </w:tabs>
        <w:spacing w:after="60"/>
        <w:jc w:val="both"/>
        <w:rPr>
          <w:rFonts w:ascii="Times New Roman" w:hAnsi="Times New Roman" w:cs="Times New Roman"/>
          <w:color w:val="0000CC"/>
          <w:sz w:val="20"/>
          <w:szCs w:val="20"/>
        </w:rPr>
      </w:pPr>
      <w:r>
        <w:rPr>
          <w:rFonts w:ascii="Times New Roman" w:hAnsi="Times New Roman" w:cs="Times New Roman"/>
          <w:color w:val="0000CC"/>
          <w:sz w:val="20"/>
          <w:szCs w:val="20"/>
        </w:rPr>
        <w:t>Rapporteur has addressed companies’ responses during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 in a new column that is added to each table where companies were asked for new points to be addressed. These tables are moved to this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_Ref75305880 \r \h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1.2</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section aiming to minimize any confusion between the responses provided by companies in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and 2</w:t>
      </w:r>
      <w:r>
        <w:rPr>
          <w:rFonts w:ascii="Times New Roman" w:hAnsi="Times New Roman" w:cs="Times New Roman"/>
          <w:color w:val="0000CC"/>
          <w:sz w:val="20"/>
          <w:szCs w:val="20"/>
          <w:vertAlign w:val="superscript"/>
        </w:rPr>
        <w:t>nd</w:t>
      </w:r>
      <w:r>
        <w:rPr>
          <w:rFonts w:ascii="Times New Roman" w:hAnsi="Times New Roman" w:cs="Times New Roman"/>
          <w:color w:val="0000CC"/>
          <w:sz w:val="20"/>
          <w:szCs w:val="20"/>
        </w:rPr>
        <w:t xml:space="preserve"> phase. </w:t>
      </w:r>
    </w:p>
    <w:p w14:paraId="15B4B20D" w14:textId="77777777" w:rsidR="00EA567C" w:rsidRDefault="00EA567C">
      <w:pPr>
        <w:tabs>
          <w:tab w:val="left" w:pos="1327"/>
        </w:tabs>
        <w:spacing w:after="60"/>
        <w:jc w:val="both"/>
        <w:rPr>
          <w:rFonts w:ascii="Times New Roman" w:hAnsi="Times New Roman" w:cs="Times New Roman"/>
          <w:sz w:val="20"/>
          <w:szCs w:val="20"/>
        </w:rPr>
      </w:pPr>
    </w:p>
    <w:p w14:paraId="15B4B20E" w14:textId="77777777" w:rsidR="00EA567C" w:rsidRDefault="00786B2D">
      <w:pPr>
        <w:pStyle w:val="4"/>
        <w:rPr>
          <w:lang w:val="en-US"/>
        </w:rPr>
      </w:pPr>
      <w:r>
        <w:rPr>
          <w:lang w:val="en-US"/>
        </w:rPr>
        <w:t>New points to s</w:t>
      </w:r>
      <w:r>
        <w:t>e</w:t>
      </w:r>
      <w:r>
        <w:rPr>
          <w:lang w:val="en-US"/>
        </w:rPr>
        <w:t>ct</w:t>
      </w:r>
      <w:r>
        <w:t>i</w:t>
      </w:r>
      <w:r>
        <w:rPr>
          <w:lang w:val="en-US"/>
        </w:rPr>
        <w:t xml:space="preserve">on </w:t>
      </w:r>
      <w:r>
        <w:rPr>
          <w:lang w:val="en-US"/>
        </w:rPr>
        <w:fldChar w:fldCharType="begin"/>
      </w:r>
      <w:r>
        <w:rPr>
          <w:lang w:val="en-US"/>
        </w:rPr>
        <w:instrText xml:space="preserve"> REF _Ref74123258 \r \h </w:instrText>
      </w:r>
      <w:r>
        <w:rPr>
          <w:lang w:val="en-US"/>
        </w:rPr>
      </w:r>
      <w:r>
        <w:rPr>
          <w:lang w:val="en-US"/>
        </w:rPr>
        <w:fldChar w:fldCharType="separate"/>
      </w:r>
      <w:r>
        <w:rPr>
          <w:lang w:val="en-US"/>
        </w:rPr>
        <w:t>2</w:t>
      </w:r>
      <w:r>
        <w:rPr>
          <w:lang w:val="en-US"/>
        </w:rPr>
        <w:fldChar w:fldCharType="end"/>
      </w:r>
      <w:r>
        <w:rPr>
          <w:lang w:val="en-US"/>
        </w:rPr>
        <w:t xml:space="preserve"> (identified during 1</w:t>
      </w:r>
      <w:r>
        <w:rPr>
          <w:vertAlign w:val="superscript"/>
          <w:lang w:val="en-US"/>
        </w:rPr>
        <w:t>st</w:t>
      </w:r>
      <w:r>
        <w:rPr>
          <w:lang w:val="en-US"/>
        </w:rPr>
        <w:t xml:space="preserve"> phase)</w:t>
      </w:r>
    </w:p>
    <w:p w14:paraId="15B4B20F"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Please indicate if there are any other topics/questions that require to be addressed as part of this </w:t>
      </w:r>
      <w:r>
        <w:rPr>
          <w:rFonts w:ascii="Times New Roman" w:hAnsi="Times New Roman" w:cs="Times New Roman"/>
          <w:b/>
          <w:bCs/>
          <w:sz w:val="20"/>
          <w:szCs w:val="20"/>
        </w:rPr>
        <w:t>section 2</w:t>
      </w:r>
      <w:r>
        <w:rPr>
          <w:rFonts w:ascii="Times New Roman" w:hAnsi="Times New Roman" w:cs="Times New Roman"/>
          <w:sz w:val="20"/>
          <w:szCs w:val="20"/>
        </w:rPr>
        <w:t xml:space="preserve">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_Ref74135971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General topics: switch from SDT to CONNECTED</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ab"/>
        <w:tblW w:w="5000" w:type="pct"/>
        <w:tblLook w:val="04A0" w:firstRow="1" w:lastRow="0" w:firstColumn="1" w:lastColumn="0" w:noHBand="0" w:noVBand="1"/>
      </w:tblPr>
      <w:tblGrid>
        <w:gridCol w:w="1195"/>
        <w:gridCol w:w="5010"/>
        <w:gridCol w:w="3145"/>
      </w:tblGrid>
      <w:tr w:rsidR="00EA567C" w14:paraId="15B4B213" w14:textId="77777777">
        <w:tc>
          <w:tcPr>
            <w:tcW w:w="639" w:type="pct"/>
            <w:shd w:val="clear" w:color="auto" w:fill="BFBFBF" w:themeFill="background1" w:themeFillShade="BF"/>
          </w:tcPr>
          <w:p w14:paraId="15B4B210" w14:textId="77777777" w:rsidR="00EA567C" w:rsidRDefault="00786B2D">
            <w:pPr>
              <w:spacing w:after="0"/>
              <w:jc w:val="center"/>
              <w:rPr>
                <w:b/>
                <w:bCs/>
              </w:rPr>
            </w:pPr>
            <w:r>
              <w:rPr>
                <w:b/>
                <w:bCs/>
              </w:rPr>
              <w:t>Company’s name</w:t>
            </w:r>
          </w:p>
        </w:tc>
        <w:tc>
          <w:tcPr>
            <w:tcW w:w="2679" w:type="pct"/>
            <w:shd w:val="clear" w:color="auto" w:fill="BFBFBF" w:themeFill="background1" w:themeFillShade="BF"/>
          </w:tcPr>
          <w:p w14:paraId="15B4B211" w14:textId="77777777" w:rsidR="00EA567C" w:rsidRDefault="00786B2D">
            <w:pPr>
              <w:spacing w:after="0"/>
              <w:jc w:val="center"/>
              <w:rPr>
                <w:b/>
                <w:bCs/>
              </w:rPr>
            </w:pPr>
            <w:r>
              <w:rPr>
                <w:b/>
                <w:bCs/>
              </w:rPr>
              <w:t>Companies’ views</w:t>
            </w:r>
          </w:p>
        </w:tc>
        <w:tc>
          <w:tcPr>
            <w:tcW w:w="1682" w:type="pct"/>
            <w:shd w:val="clear" w:color="auto" w:fill="BFBFBF" w:themeFill="background1" w:themeFillShade="BF"/>
          </w:tcPr>
          <w:p w14:paraId="15B4B212" w14:textId="77777777" w:rsidR="00EA567C" w:rsidRDefault="00786B2D">
            <w:pPr>
              <w:spacing w:after="0"/>
              <w:jc w:val="center"/>
              <w:rPr>
                <w:b/>
                <w:bCs/>
                <w:color w:val="0000CC"/>
              </w:rPr>
            </w:pPr>
            <w:r>
              <w:rPr>
                <w:b/>
                <w:bCs/>
                <w:color w:val="0000CC"/>
              </w:rPr>
              <w:t>Rapporteur’s response</w:t>
            </w:r>
          </w:p>
        </w:tc>
      </w:tr>
      <w:tr w:rsidR="00EA567C" w14:paraId="15B4B217" w14:textId="77777777">
        <w:tc>
          <w:tcPr>
            <w:tcW w:w="639" w:type="pct"/>
          </w:tcPr>
          <w:p w14:paraId="15B4B214" w14:textId="77777777" w:rsidR="00EA567C" w:rsidRDefault="00786B2D">
            <w:pPr>
              <w:spacing w:after="0"/>
              <w:rPr>
                <w:color w:val="A6A6A6" w:themeColor="background1" w:themeShade="A6"/>
              </w:rPr>
            </w:pPr>
            <w:r>
              <w:rPr>
                <w:color w:val="A6A6A6" w:themeColor="background1" w:themeShade="A6"/>
              </w:rPr>
              <w:t>ZTE</w:t>
            </w:r>
          </w:p>
        </w:tc>
        <w:tc>
          <w:tcPr>
            <w:tcW w:w="2679" w:type="pct"/>
          </w:tcPr>
          <w:p w14:paraId="15B4B215" w14:textId="77777777" w:rsidR="00EA567C" w:rsidRDefault="00786B2D">
            <w:pPr>
              <w:spacing w:after="0"/>
              <w:rPr>
                <w:color w:val="A6A6A6" w:themeColor="background1" w:themeShade="A6"/>
              </w:rPr>
            </w:pPr>
            <w:r>
              <w:rPr>
                <w:color w:val="A6A6A6" w:themeColor="background1" w:themeShade="A6"/>
              </w:rPr>
              <w:t xml:space="preserve">For 2.1, for option 1.a, we think there should be a question on whether or not we will support any mechanism to prevent data loss in case UE is moved back to INACTIVE state (since in normal RRC release procedure, PDCP suspend operation will be performed and all the data buffered on UE side will be discarded) – perhaps this is also related to section 4.2 (i.e., we may apply uniform handling for all scenarios where there could be an abrupt termination of SDT procedure). </w:t>
            </w:r>
          </w:p>
        </w:tc>
        <w:tc>
          <w:tcPr>
            <w:tcW w:w="1682" w:type="pct"/>
          </w:tcPr>
          <w:p w14:paraId="15B4B216" w14:textId="77777777" w:rsidR="00EA567C" w:rsidRDefault="00786B2D">
            <w:pPr>
              <w:spacing w:after="0"/>
              <w:rPr>
                <w:color w:val="0000CC"/>
              </w:rPr>
            </w:pPr>
            <w:r>
              <w:rPr>
                <w:color w:val="0000CC"/>
              </w:rPr>
              <w:t xml:space="preserve">New question </w:t>
            </w:r>
            <w:r>
              <w:rPr>
                <w:color w:val="0000CC"/>
              </w:rPr>
              <w:fldChar w:fldCharType="begin"/>
            </w:r>
            <w:r>
              <w:rPr>
                <w:color w:val="0000CC"/>
              </w:rPr>
              <w:instrText xml:space="preserve"> REF _Ref75251966 \r \h </w:instrText>
            </w:r>
            <w:r>
              <w:rPr>
                <w:color w:val="0000CC"/>
              </w:rPr>
            </w:r>
            <w:r>
              <w:rPr>
                <w:color w:val="0000CC"/>
              </w:rPr>
              <w:fldChar w:fldCharType="separate"/>
            </w:r>
            <w:r>
              <w:rPr>
                <w:color w:val="0000CC"/>
              </w:rPr>
              <w:t>Q1)</w:t>
            </w:r>
            <w:r>
              <w:rPr>
                <w:color w:val="0000CC"/>
              </w:rPr>
              <w:fldChar w:fldCharType="end"/>
            </w:r>
            <w:r>
              <w:rPr>
                <w:color w:val="0000CC"/>
              </w:rPr>
              <w:t xml:space="preserve"> is added with corresponding new proposal for option 1.a)</w:t>
            </w:r>
          </w:p>
        </w:tc>
      </w:tr>
      <w:tr w:rsidR="00EA567C" w14:paraId="15B4B21B" w14:textId="77777777">
        <w:tc>
          <w:tcPr>
            <w:tcW w:w="639" w:type="pct"/>
          </w:tcPr>
          <w:p w14:paraId="15B4B218" w14:textId="77777777" w:rsidR="00EA567C" w:rsidRDefault="00786B2D">
            <w:pPr>
              <w:spacing w:after="0"/>
              <w:rPr>
                <w:color w:val="A6A6A6" w:themeColor="background1" w:themeShade="A6"/>
              </w:rPr>
            </w:pPr>
            <w:r>
              <w:rPr>
                <w:color w:val="A6A6A6" w:themeColor="background1" w:themeShade="A6"/>
              </w:rPr>
              <w:t>APT</w:t>
            </w:r>
          </w:p>
        </w:tc>
        <w:tc>
          <w:tcPr>
            <w:tcW w:w="2679" w:type="pct"/>
          </w:tcPr>
          <w:p w14:paraId="15B4B219" w14:textId="77777777" w:rsidR="00EA567C" w:rsidRDefault="00786B2D">
            <w:pPr>
              <w:spacing w:after="0"/>
              <w:rPr>
                <w:rFonts w:eastAsia="PMingLiU"/>
                <w:color w:val="A6A6A6" w:themeColor="background1" w:themeShade="A6"/>
                <w:lang w:eastAsia="zh-TW"/>
              </w:rPr>
            </w:pPr>
            <w:r>
              <w:rPr>
                <w:color w:val="A6A6A6" w:themeColor="background1" w:themeShade="A6"/>
                <w:lang w:eastAsia="zh-TW"/>
              </w:rPr>
              <w:t xml:space="preserve">Similar view with ZTE: a higher-level question like whether to support a mechanism to prevent data loss (especially for the on-going SDT RB) when UE is moved back to RRC_INACTIVE would be helpful for section 2.1, option 1.a.  </w:t>
            </w:r>
          </w:p>
        </w:tc>
        <w:tc>
          <w:tcPr>
            <w:tcW w:w="1682" w:type="pct"/>
          </w:tcPr>
          <w:p w14:paraId="15B4B21A" w14:textId="77777777" w:rsidR="00EA567C" w:rsidRDefault="00786B2D">
            <w:pPr>
              <w:spacing w:after="0"/>
              <w:rPr>
                <w:color w:val="0000CC"/>
                <w:lang w:eastAsia="zh-TW"/>
              </w:rPr>
            </w:pPr>
            <w:r>
              <w:rPr>
                <w:color w:val="0000CC"/>
                <w:lang w:eastAsia="zh-TW"/>
              </w:rPr>
              <w:t>See response to ZTE</w:t>
            </w:r>
          </w:p>
        </w:tc>
      </w:tr>
      <w:tr w:rsidR="00EA567C" w14:paraId="15B4B225" w14:textId="77777777">
        <w:tc>
          <w:tcPr>
            <w:tcW w:w="639" w:type="pct"/>
          </w:tcPr>
          <w:p w14:paraId="15B4B21C" w14:textId="77777777" w:rsidR="00EA567C" w:rsidRDefault="00786B2D">
            <w:pPr>
              <w:spacing w:after="0"/>
              <w:rPr>
                <w:color w:val="A6A6A6" w:themeColor="background1" w:themeShade="A6"/>
              </w:rPr>
            </w:pPr>
            <w:r>
              <w:rPr>
                <w:color w:val="A6A6A6" w:themeColor="background1" w:themeShade="A6"/>
              </w:rPr>
              <w:t>Huawei, HiSilicon</w:t>
            </w:r>
          </w:p>
        </w:tc>
        <w:tc>
          <w:tcPr>
            <w:tcW w:w="2679" w:type="pct"/>
          </w:tcPr>
          <w:p w14:paraId="15B4B21D" w14:textId="77777777" w:rsidR="00EA567C" w:rsidRDefault="00786B2D">
            <w:pPr>
              <w:spacing w:after="0"/>
              <w:rPr>
                <w:color w:val="A6A6A6" w:themeColor="background1" w:themeShade="A6"/>
              </w:rPr>
            </w:pPr>
            <w:r>
              <w:rPr>
                <w:color w:val="A6A6A6" w:themeColor="background1" w:themeShade="A6"/>
              </w:rPr>
              <w:t>On Topic#1: The presented solutions are only a subset of the possible approaches, so it is better to focus on the questions that are raised instead of specific solutions for now (probably this is the intention, but we just wanted to underline this). In general, this topic is more in the RAN3 area, so in the end we may just need to ask them to come up with the solution.</w:t>
            </w:r>
          </w:p>
          <w:p w14:paraId="15B4B21E" w14:textId="77777777" w:rsidR="00EA567C" w:rsidRDefault="00786B2D">
            <w:pPr>
              <w:spacing w:after="0"/>
              <w:rPr>
                <w:color w:val="A6A6A6" w:themeColor="background1" w:themeShade="A6"/>
              </w:rPr>
            </w:pPr>
            <w:r>
              <w:rPr>
                <w:color w:val="A6A6A6" w:themeColor="background1" w:themeShade="A6"/>
              </w:rPr>
              <w:t>For Topic#2: Observation 1 is not really an observation – we should perhaps turn it into a proposal and attempt to agree on it.</w:t>
            </w:r>
          </w:p>
          <w:p w14:paraId="15B4B21F" w14:textId="77777777" w:rsidR="00EA567C" w:rsidRDefault="00786B2D">
            <w:pPr>
              <w:spacing w:after="0"/>
              <w:rPr>
                <w:color w:val="A6A6A6" w:themeColor="background1" w:themeShade="A6"/>
                <w:lang w:eastAsia="zh-TW"/>
              </w:rPr>
            </w:pPr>
            <w:r>
              <w:rPr>
                <w:color w:val="A6A6A6" w:themeColor="background1" w:themeShade="A6"/>
              </w:rPr>
              <w:t>On the comment from ZTE – when the UE moves to RRC INACTIVE and PDCP is suspended the PDCP PDUs are discarded, but not PDCP SDUs. This is how the data loss is avoided (as compared to moving the UE to RRC IDLE).</w:t>
            </w:r>
          </w:p>
        </w:tc>
        <w:tc>
          <w:tcPr>
            <w:tcW w:w="1682" w:type="pct"/>
          </w:tcPr>
          <w:p w14:paraId="15B4B220" w14:textId="77777777" w:rsidR="00EA567C" w:rsidRDefault="00786B2D">
            <w:pPr>
              <w:spacing w:after="0"/>
              <w:rPr>
                <w:color w:val="0000CC"/>
              </w:rPr>
            </w:pPr>
            <w:r>
              <w:rPr>
                <w:color w:val="0000CC"/>
              </w:rPr>
              <w:t>For Topic #1, the discussion is indeed focusing on the questions.</w:t>
            </w:r>
          </w:p>
          <w:p w14:paraId="15B4B221" w14:textId="77777777" w:rsidR="00EA567C" w:rsidRDefault="00EA567C">
            <w:pPr>
              <w:spacing w:after="0"/>
              <w:rPr>
                <w:color w:val="0000CC"/>
              </w:rPr>
            </w:pPr>
          </w:p>
          <w:p w14:paraId="15B4B222" w14:textId="77777777" w:rsidR="00EA567C" w:rsidRDefault="00786B2D">
            <w:pPr>
              <w:spacing w:after="0"/>
              <w:rPr>
                <w:color w:val="0000CC"/>
              </w:rPr>
            </w:pPr>
            <w:r>
              <w:rPr>
                <w:color w:val="0000CC"/>
              </w:rPr>
              <w:t xml:space="preserve">For Topic #2, observation 2 is moved to a new question </w:t>
            </w:r>
            <w:r>
              <w:rPr>
                <w:iCs/>
                <w:color w:val="0000CC"/>
              </w:rPr>
              <w:fldChar w:fldCharType="begin"/>
            </w:r>
            <w:r>
              <w:rPr>
                <w:iCs/>
                <w:color w:val="0000CC"/>
              </w:rPr>
              <w:instrText xml:space="preserve"> REF _Ref75238065 \r \h </w:instrText>
            </w:r>
            <w:r>
              <w:rPr>
                <w:iCs/>
                <w:color w:val="0000CC"/>
              </w:rPr>
            </w:r>
            <w:r>
              <w:rPr>
                <w:iCs/>
                <w:color w:val="0000CC"/>
              </w:rPr>
              <w:fldChar w:fldCharType="separate"/>
            </w:r>
            <w:r>
              <w:rPr>
                <w:iCs/>
                <w:color w:val="0000CC"/>
              </w:rPr>
              <w:t>Q.6)</w:t>
            </w:r>
            <w:r>
              <w:rPr>
                <w:color w:val="0000CC"/>
              </w:rPr>
              <w:fldChar w:fldCharType="end"/>
            </w:r>
            <w:r>
              <w:rPr>
                <w:color w:val="0000CC"/>
              </w:rPr>
              <w:t xml:space="preserve"> as requested.</w:t>
            </w:r>
          </w:p>
          <w:p w14:paraId="15B4B223" w14:textId="77777777" w:rsidR="00EA567C" w:rsidRDefault="00EA567C">
            <w:pPr>
              <w:spacing w:after="0"/>
              <w:rPr>
                <w:color w:val="0000CC"/>
              </w:rPr>
            </w:pPr>
          </w:p>
          <w:p w14:paraId="15B4B224" w14:textId="77777777" w:rsidR="00EA567C" w:rsidRDefault="00786B2D">
            <w:pPr>
              <w:spacing w:after="0"/>
              <w:rPr>
                <w:color w:val="0000CC"/>
              </w:rPr>
            </w:pPr>
            <w:r>
              <w:rPr>
                <w:color w:val="0000CC"/>
              </w:rPr>
              <w:t xml:space="preserve">Added the suggested clarification on the new question  </w:t>
            </w:r>
            <w:r>
              <w:rPr>
                <w:color w:val="0000CC"/>
              </w:rPr>
              <w:fldChar w:fldCharType="begin"/>
            </w:r>
            <w:r>
              <w:rPr>
                <w:color w:val="0000CC"/>
              </w:rPr>
              <w:instrText xml:space="preserve"> REF _Ref75251966 \r \h </w:instrText>
            </w:r>
            <w:r>
              <w:rPr>
                <w:color w:val="0000CC"/>
              </w:rPr>
            </w:r>
            <w:r>
              <w:rPr>
                <w:color w:val="0000CC"/>
              </w:rPr>
              <w:fldChar w:fldCharType="separate"/>
            </w:r>
            <w:r>
              <w:rPr>
                <w:color w:val="0000CC"/>
              </w:rPr>
              <w:t>Q1)</w:t>
            </w:r>
            <w:r>
              <w:rPr>
                <w:color w:val="0000CC"/>
              </w:rPr>
              <w:fldChar w:fldCharType="end"/>
            </w:r>
            <w:r>
              <w:rPr>
                <w:color w:val="0000CC"/>
              </w:rPr>
              <w:t xml:space="preserve"> raised by ZTE.</w:t>
            </w:r>
          </w:p>
        </w:tc>
      </w:tr>
      <w:tr w:rsidR="00EA567C" w14:paraId="15B4B22A" w14:textId="77777777">
        <w:trPr>
          <w:trHeight w:val="1160"/>
        </w:trPr>
        <w:tc>
          <w:tcPr>
            <w:tcW w:w="639" w:type="pct"/>
          </w:tcPr>
          <w:p w14:paraId="15B4B226" w14:textId="77777777" w:rsidR="00EA567C" w:rsidRDefault="00786B2D">
            <w:pPr>
              <w:spacing w:after="0"/>
              <w:rPr>
                <w:color w:val="A6A6A6" w:themeColor="background1" w:themeShade="A6"/>
              </w:rPr>
            </w:pPr>
            <w:r>
              <w:rPr>
                <w:color w:val="A6A6A6" w:themeColor="background1" w:themeShade="A6"/>
                <w:lang w:eastAsia="zh-CN"/>
              </w:rPr>
              <w:t>TCL</w:t>
            </w:r>
          </w:p>
        </w:tc>
        <w:tc>
          <w:tcPr>
            <w:tcW w:w="2679" w:type="pct"/>
          </w:tcPr>
          <w:p w14:paraId="15B4B227" w14:textId="77777777" w:rsidR="00EA567C" w:rsidRDefault="00786B2D">
            <w:pPr>
              <w:spacing w:after="0"/>
              <w:rPr>
                <w:color w:val="A6A6A6" w:themeColor="background1" w:themeShade="A6"/>
                <w:lang w:eastAsia="zh-CN"/>
              </w:rPr>
            </w:pPr>
            <w:r>
              <w:rPr>
                <w:color w:val="A6A6A6" w:themeColor="background1" w:themeShade="A6"/>
                <w:lang w:eastAsia="zh-CN"/>
              </w:rPr>
              <w:t xml:space="preserve">Agree with HW that we should focus on the questions raised and do further studies on them for now, then investigate the possible approaches based on the studies. </w:t>
            </w:r>
          </w:p>
          <w:p w14:paraId="15B4B228" w14:textId="77777777" w:rsidR="00EA567C" w:rsidRDefault="00786B2D">
            <w:pPr>
              <w:spacing w:after="0"/>
              <w:rPr>
                <w:color w:val="A6A6A6" w:themeColor="background1" w:themeShade="A6"/>
              </w:rPr>
            </w:pPr>
            <w:r>
              <w:rPr>
                <w:color w:val="A6A6A6" w:themeColor="background1" w:themeShade="A6"/>
                <w:lang w:eastAsia="zh-CN"/>
              </w:rPr>
              <w:t xml:space="preserve">For section 2.1, option 1.a, we share the same view with ZTE and APT, the service continuation should be </w:t>
            </w:r>
            <w:r>
              <w:rPr>
                <w:color w:val="A6A6A6" w:themeColor="background1" w:themeShade="A6"/>
                <w:lang w:eastAsia="zh-CN"/>
              </w:rPr>
              <w:lastRenderedPageBreak/>
              <w:t>considered during the procedure the UE move back to INACTIVE state.</w:t>
            </w:r>
          </w:p>
        </w:tc>
        <w:tc>
          <w:tcPr>
            <w:tcW w:w="1682" w:type="pct"/>
          </w:tcPr>
          <w:p w14:paraId="15B4B229" w14:textId="77777777" w:rsidR="00EA567C" w:rsidRDefault="00786B2D">
            <w:pPr>
              <w:spacing w:after="0"/>
              <w:rPr>
                <w:color w:val="0000CC"/>
                <w:lang w:eastAsia="zh-CN"/>
              </w:rPr>
            </w:pPr>
            <w:r>
              <w:rPr>
                <w:color w:val="0000CC"/>
                <w:lang w:eastAsia="zh-CN"/>
              </w:rPr>
              <w:lastRenderedPageBreak/>
              <w:t>See responses to previous related comments</w:t>
            </w:r>
          </w:p>
        </w:tc>
      </w:tr>
      <w:tr w:rsidR="00EA567C" w14:paraId="15B4B231" w14:textId="77777777">
        <w:trPr>
          <w:trHeight w:val="1160"/>
        </w:trPr>
        <w:tc>
          <w:tcPr>
            <w:tcW w:w="639" w:type="pct"/>
          </w:tcPr>
          <w:p w14:paraId="15B4B22B" w14:textId="77777777" w:rsidR="00EA567C" w:rsidRDefault="00786B2D">
            <w:pPr>
              <w:spacing w:after="0"/>
              <w:rPr>
                <w:color w:val="A6A6A6" w:themeColor="background1" w:themeShade="A6"/>
                <w:lang w:eastAsia="zh-CN"/>
              </w:rPr>
            </w:pPr>
            <w:r>
              <w:rPr>
                <w:color w:val="A6A6A6" w:themeColor="background1" w:themeShade="A6"/>
                <w:lang w:eastAsia="zh-CN"/>
              </w:rPr>
              <w:t>NEC</w:t>
            </w:r>
          </w:p>
        </w:tc>
        <w:tc>
          <w:tcPr>
            <w:tcW w:w="2679" w:type="pct"/>
          </w:tcPr>
          <w:p w14:paraId="15B4B22C" w14:textId="77777777" w:rsidR="00EA567C" w:rsidRDefault="00786B2D">
            <w:pPr>
              <w:spacing w:after="0"/>
              <w:rPr>
                <w:color w:val="A6A6A6" w:themeColor="background1" w:themeShade="A6"/>
                <w:lang w:eastAsia="zh-CN"/>
              </w:rPr>
            </w:pPr>
            <w:r>
              <w:rPr>
                <w:color w:val="A6A6A6" w:themeColor="background1" w:themeShade="A6"/>
                <w:lang w:eastAsia="zh-CN"/>
              </w:rPr>
              <w:t>For Topic#1, we think this should be discussed by RAN3. And we understand that RAN3 haven’t agreed to support the scenario of subsequent SDT without anchor relocation yet. So it is too early to discuss related issue in RAN2.</w:t>
            </w:r>
          </w:p>
          <w:p w14:paraId="15B4B22D" w14:textId="77777777" w:rsidR="00EA567C" w:rsidRDefault="00786B2D">
            <w:pPr>
              <w:spacing w:after="0"/>
              <w:rPr>
                <w:color w:val="A6A6A6" w:themeColor="background1" w:themeShade="A6"/>
                <w:lang w:eastAsia="zh-CN"/>
              </w:rPr>
            </w:pPr>
            <w:r>
              <w:rPr>
                <w:color w:val="A6A6A6" w:themeColor="background1" w:themeShade="A6"/>
                <w:lang w:eastAsia="zh-CN"/>
              </w:rPr>
              <w:t>We agree with observation 1 in Topic #2.</w:t>
            </w:r>
          </w:p>
        </w:tc>
        <w:tc>
          <w:tcPr>
            <w:tcW w:w="1682" w:type="pct"/>
          </w:tcPr>
          <w:p w14:paraId="15B4B22E" w14:textId="77777777" w:rsidR="00EA567C" w:rsidRDefault="00786B2D">
            <w:pPr>
              <w:spacing w:after="0"/>
              <w:rPr>
                <w:color w:val="0000CC"/>
                <w:lang w:eastAsia="zh-CN"/>
              </w:rPr>
            </w:pPr>
            <w:r>
              <w:rPr>
                <w:color w:val="0000CC"/>
                <w:lang w:eastAsia="zh-CN"/>
              </w:rPr>
              <w:t>For Topic #1, a question</w:t>
            </w:r>
            <w:r>
              <w:rPr>
                <w:b/>
                <w:bCs/>
                <w:color w:val="0000CC"/>
                <w:lang w:eastAsia="zh-CN"/>
              </w:rPr>
              <w:t xml:space="preserve"> </w:t>
            </w:r>
            <w:r>
              <w:rPr>
                <w:color w:val="0000CC"/>
                <w:lang w:eastAsia="zh-CN"/>
              </w:rPr>
              <w:fldChar w:fldCharType="begin"/>
            </w:r>
            <w:r>
              <w:rPr>
                <w:color w:val="0000CC"/>
                <w:lang w:eastAsia="zh-CN"/>
              </w:rPr>
              <w:instrText xml:space="preserve"> REF _Ref75148850 \r \h  \* MERGEFORMAT </w:instrText>
            </w:r>
            <w:r>
              <w:rPr>
                <w:color w:val="0000CC"/>
                <w:lang w:eastAsia="zh-CN"/>
              </w:rPr>
            </w:r>
            <w:r>
              <w:rPr>
                <w:color w:val="0000CC"/>
                <w:lang w:eastAsia="zh-CN"/>
              </w:rPr>
              <w:fldChar w:fldCharType="separate"/>
            </w:r>
            <w:r>
              <w:rPr>
                <w:color w:val="0000CC"/>
                <w:lang w:eastAsia="zh-CN"/>
              </w:rPr>
              <w:t>Q.4)</w:t>
            </w:r>
            <w:r>
              <w:rPr>
                <w:color w:val="0000CC"/>
                <w:lang w:eastAsia="zh-CN"/>
              </w:rPr>
              <w:fldChar w:fldCharType="end"/>
            </w:r>
            <w:r>
              <w:rPr>
                <w:color w:val="0000CC"/>
                <w:lang w:eastAsia="zh-CN"/>
              </w:rPr>
              <w:t xml:space="preserve"> is added with potential points to be asked/raised to RAN3 if the scenario were supported.</w:t>
            </w:r>
          </w:p>
          <w:p w14:paraId="15B4B22F" w14:textId="77777777" w:rsidR="00EA567C" w:rsidRDefault="00EA567C">
            <w:pPr>
              <w:spacing w:after="0"/>
              <w:rPr>
                <w:color w:val="0000CC"/>
                <w:lang w:eastAsia="zh-CN"/>
              </w:rPr>
            </w:pPr>
          </w:p>
          <w:p w14:paraId="15B4B230" w14:textId="77777777" w:rsidR="00EA567C" w:rsidRDefault="00786B2D">
            <w:pPr>
              <w:spacing w:after="0"/>
              <w:rPr>
                <w:color w:val="0000CC"/>
                <w:lang w:eastAsia="zh-CN"/>
              </w:rPr>
            </w:pPr>
            <w:r>
              <w:rPr>
                <w:color w:val="0000CC"/>
                <w:lang w:eastAsia="zh-CN"/>
              </w:rPr>
              <w:t>For Topic #2, see response provided to Huawei on this.</w:t>
            </w:r>
          </w:p>
        </w:tc>
      </w:tr>
    </w:tbl>
    <w:p w14:paraId="15B4B232" w14:textId="77777777" w:rsidR="00EA567C" w:rsidRDefault="00EA567C">
      <w:pPr>
        <w:rPr>
          <w:lang w:eastAsia="x-none"/>
        </w:rPr>
      </w:pPr>
    </w:p>
    <w:p w14:paraId="15B4B233" w14:textId="77777777" w:rsidR="00EA567C" w:rsidRDefault="00786B2D">
      <w:pPr>
        <w:pStyle w:val="4"/>
      </w:pPr>
      <w:r>
        <w:t xml:space="preserve">New points to section </w:t>
      </w:r>
      <w:r>
        <w:fldChar w:fldCharType="begin"/>
      </w:r>
      <w:r>
        <w:instrText xml:space="preserve"> REF _Ref74135977 \r \h </w:instrText>
      </w:r>
      <w:r>
        <w:fldChar w:fldCharType="separate"/>
      </w:r>
      <w:r>
        <w:t>3.1</w:t>
      </w:r>
      <w:r>
        <w:fldChar w:fldCharType="end"/>
      </w:r>
      <w:r>
        <w:t xml:space="preserve"> (identified during 1</w:t>
      </w:r>
      <w:r>
        <w:rPr>
          <w:vertAlign w:val="superscript"/>
        </w:rPr>
        <w:t>st</w:t>
      </w:r>
      <w:r>
        <w:t xml:space="preserve"> phase)</w:t>
      </w:r>
    </w:p>
    <w:p w14:paraId="15B4B234" w14:textId="77777777" w:rsidR="00EA567C" w:rsidRDefault="00786B2D">
      <w:pPr>
        <w:rPr>
          <w:rFonts w:ascii="Times New Roman" w:hAnsi="Times New Roman" w:cs="Times New Roman"/>
          <w:sz w:val="20"/>
          <w:szCs w:val="20"/>
        </w:rPr>
      </w:pPr>
      <w:r>
        <w:rPr>
          <w:rFonts w:ascii="Times New Roman" w:hAnsi="Times New Roman" w:cs="Times New Roman"/>
          <w:sz w:val="20"/>
          <w:szCs w:val="20"/>
        </w:rPr>
        <w:t xml:space="preserve">Please indicate if there are any other topics/questions that require to be addressed as part of this </w:t>
      </w:r>
      <w:r>
        <w:rPr>
          <w:rFonts w:ascii="Times New Roman" w:hAnsi="Times New Roman" w:cs="Times New Roman"/>
          <w:b/>
          <w:bCs/>
          <w:sz w:val="20"/>
          <w:szCs w:val="20"/>
        </w:rPr>
        <w:t>section 3.1</w:t>
      </w:r>
      <w:r>
        <w:rPr>
          <w:rFonts w:ascii="Times New Roman" w:hAnsi="Times New Roman" w:cs="Times New Roman"/>
          <w:sz w:val="20"/>
          <w:szCs w:val="20"/>
        </w:rPr>
        <w:t xml:space="preserve">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_Ref74135977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General topics</w:t>
      </w:r>
      <w:r>
        <w:rPr>
          <w:rFonts w:ascii="Times New Roman" w:hAnsi="Times New Roman" w:cs="Times New Roman"/>
          <w:sz w:val="20"/>
          <w:szCs w:val="20"/>
        </w:rPr>
        <w:fldChar w:fldCharType="end"/>
      </w:r>
      <w:r>
        <w:rPr>
          <w:rFonts w:ascii="Times New Roman" w:hAnsi="Times New Roman" w:cs="Times New Roman"/>
          <w:sz w:val="20"/>
          <w:szCs w:val="20"/>
        </w:rPr>
        <w:t>” for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_Ref74146724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Non-SDT data handling during ongoing SDT session</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ab"/>
        <w:tblW w:w="5000" w:type="pct"/>
        <w:tblLook w:val="04A0" w:firstRow="1" w:lastRow="0" w:firstColumn="1" w:lastColumn="0" w:noHBand="0" w:noVBand="1"/>
      </w:tblPr>
      <w:tblGrid>
        <w:gridCol w:w="1195"/>
        <w:gridCol w:w="5099"/>
        <w:gridCol w:w="3056"/>
      </w:tblGrid>
      <w:tr w:rsidR="00EA567C" w14:paraId="15B4B238" w14:textId="77777777">
        <w:tc>
          <w:tcPr>
            <w:tcW w:w="639" w:type="pct"/>
            <w:shd w:val="clear" w:color="auto" w:fill="BFBFBF" w:themeFill="background1" w:themeFillShade="BF"/>
          </w:tcPr>
          <w:p w14:paraId="15B4B235" w14:textId="77777777" w:rsidR="00EA567C" w:rsidRDefault="00786B2D">
            <w:pPr>
              <w:spacing w:after="0"/>
              <w:jc w:val="center"/>
              <w:rPr>
                <w:b/>
                <w:bCs/>
              </w:rPr>
            </w:pPr>
            <w:r>
              <w:rPr>
                <w:b/>
                <w:bCs/>
              </w:rPr>
              <w:t>Company’s name</w:t>
            </w:r>
          </w:p>
        </w:tc>
        <w:tc>
          <w:tcPr>
            <w:tcW w:w="2727" w:type="pct"/>
            <w:shd w:val="clear" w:color="auto" w:fill="BFBFBF" w:themeFill="background1" w:themeFillShade="BF"/>
          </w:tcPr>
          <w:p w14:paraId="15B4B236" w14:textId="77777777" w:rsidR="00EA567C" w:rsidRDefault="00786B2D">
            <w:pPr>
              <w:spacing w:after="0"/>
              <w:jc w:val="center"/>
              <w:rPr>
                <w:b/>
                <w:bCs/>
              </w:rPr>
            </w:pPr>
            <w:r>
              <w:rPr>
                <w:b/>
                <w:bCs/>
              </w:rPr>
              <w:t>Companies’ views</w:t>
            </w:r>
          </w:p>
        </w:tc>
        <w:tc>
          <w:tcPr>
            <w:tcW w:w="1634" w:type="pct"/>
            <w:shd w:val="clear" w:color="auto" w:fill="BFBFBF" w:themeFill="background1" w:themeFillShade="BF"/>
          </w:tcPr>
          <w:p w14:paraId="15B4B237" w14:textId="77777777" w:rsidR="00EA567C" w:rsidRDefault="00786B2D">
            <w:pPr>
              <w:spacing w:after="0"/>
              <w:jc w:val="center"/>
              <w:rPr>
                <w:b/>
                <w:bCs/>
                <w:color w:val="0000CC"/>
              </w:rPr>
            </w:pPr>
            <w:r>
              <w:rPr>
                <w:b/>
                <w:bCs/>
                <w:color w:val="0000CC"/>
              </w:rPr>
              <w:t>Rapporteur’s response</w:t>
            </w:r>
          </w:p>
        </w:tc>
      </w:tr>
      <w:tr w:rsidR="00EA567C" w14:paraId="15B4B23E" w14:textId="77777777">
        <w:tc>
          <w:tcPr>
            <w:tcW w:w="639" w:type="pct"/>
          </w:tcPr>
          <w:p w14:paraId="15B4B239" w14:textId="77777777" w:rsidR="00EA567C" w:rsidRDefault="00786B2D">
            <w:pPr>
              <w:spacing w:after="0"/>
              <w:rPr>
                <w:color w:val="A6A6A6" w:themeColor="background1" w:themeShade="A6"/>
              </w:rPr>
            </w:pPr>
            <w:r>
              <w:rPr>
                <w:color w:val="A6A6A6" w:themeColor="background1" w:themeShade="A6"/>
              </w:rPr>
              <w:t>ZTE</w:t>
            </w:r>
          </w:p>
        </w:tc>
        <w:tc>
          <w:tcPr>
            <w:tcW w:w="2727" w:type="pct"/>
          </w:tcPr>
          <w:p w14:paraId="15B4B23A" w14:textId="77777777" w:rsidR="00EA567C" w:rsidRDefault="00786B2D">
            <w:pPr>
              <w:spacing w:after="0"/>
              <w:rPr>
                <w:color w:val="A6A6A6" w:themeColor="background1" w:themeShade="A6"/>
              </w:rPr>
            </w:pPr>
            <w:r>
              <w:rPr>
                <w:color w:val="A6A6A6" w:themeColor="background1" w:themeShade="A6"/>
              </w:rPr>
              <w:t xml:space="preserve">In general, this is fine, but we would like to clarify that the discussion is *only* for the case where at least RACH preamble has been transmitted. i.e. we will not need to discuss any UE behaviour for the case when nothing has yet been transmitted. </w:t>
            </w:r>
          </w:p>
          <w:p w14:paraId="15B4B23B" w14:textId="77777777" w:rsidR="00EA567C" w:rsidRDefault="00EA567C">
            <w:pPr>
              <w:spacing w:after="0"/>
              <w:rPr>
                <w:color w:val="A6A6A6" w:themeColor="background1" w:themeShade="A6"/>
              </w:rPr>
            </w:pPr>
          </w:p>
          <w:p w14:paraId="15B4B23C" w14:textId="77777777" w:rsidR="00EA567C" w:rsidRDefault="00786B2D">
            <w:pPr>
              <w:spacing w:after="0"/>
              <w:rPr>
                <w:color w:val="A6A6A6" w:themeColor="background1" w:themeShade="A6"/>
              </w:rPr>
            </w:pPr>
            <w:r>
              <w:rPr>
                <w:color w:val="A6A6A6" w:themeColor="background1" w:themeShade="A6"/>
              </w:rPr>
              <w:t>Further, we are not sure whether scenario 1) and 2) needs to be distinguished from RRC perspective, but this can be discussed during the questions...</w:t>
            </w:r>
          </w:p>
        </w:tc>
        <w:tc>
          <w:tcPr>
            <w:tcW w:w="1634" w:type="pct"/>
          </w:tcPr>
          <w:p w14:paraId="15B4B23D" w14:textId="77777777" w:rsidR="00EA567C" w:rsidRDefault="00786B2D">
            <w:pPr>
              <w:spacing w:after="0"/>
              <w:rPr>
                <w:color w:val="0000CC"/>
              </w:rPr>
            </w:pPr>
            <w:r>
              <w:rPr>
                <w:color w:val="0000CC"/>
              </w:rPr>
              <w:t>Description of Topic 3 is updated to explicitly capture the 1</w:t>
            </w:r>
            <w:r>
              <w:rPr>
                <w:color w:val="0000CC"/>
                <w:vertAlign w:val="superscript"/>
              </w:rPr>
              <w:t>st</w:t>
            </w:r>
            <w:r>
              <w:rPr>
                <w:color w:val="0000CC"/>
              </w:rPr>
              <w:t xml:space="preserve"> point on RACH preamble</w:t>
            </w:r>
          </w:p>
        </w:tc>
      </w:tr>
      <w:tr w:rsidR="00EA567C" w14:paraId="15B4B245" w14:textId="77777777">
        <w:tc>
          <w:tcPr>
            <w:tcW w:w="639" w:type="pct"/>
          </w:tcPr>
          <w:p w14:paraId="15B4B23F" w14:textId="77777777" w:rsidR="00EA567C" w:rsidRDefault="00786B2D">
            <w:pPr>
              <w:spacing w:after="0"/>
              <w:rPr>
                <w:color w:val="A6A6A6" w:themeColor="background1" w:themeShade="A6"/>
              </w:rPr>
            </w:pPr>
            <w:r>
              <w:rPr>
                <w:color w:val="A6A6A6" w:themeColor="background1" w:themeShade="A6"/>
              </w:rPr>
              <w:t>CATT</w:t>
            </w:r>
          </w:p>
        </w:tc>
        <w:tc>
          <w:tcPr>
            <w:tcW w:w="2727" w:type="pct"/>
          </w:tcPr>
          <w:p w14:paraId="15B4B240" w14:textId="77777777" w:rsidR="00EA567C" w:rsidRDefault="00786B2D">
            <w:pPr>
              <w:spacing w:after="0"/>
              <w:rPr>
                <w:color w:val="A6A6A6" w:themeColor="background1" w:themeShade="A6"/>
              </w:rPr>
            </w:pPr>
            <w:r>
              <w:rPr>
                <w:color w:val="A6A6A6" w:themeColor="background1" w:themeShade="A6"/>
              </w:rPr>
              <w:t xml:space="preserve">The data arrival on non-SDT bearers could occur even when the SDT session is ongoing. This scenario is not been covered by the listed scenario 1) and 2). Hence Scenario 3: </w:t>
            </w:r>
          </w:p>
          <w:p w14:paraId="15B4B241" w14:textId="77777777" w:rsidR="00EA567C" w:rsidRDefault="00786B2D">
            <w:pPr>
              <w:spacing w:after="0"/>
              <w:rPr>
                <w:color w:val="A6A6A6" w:themeColor="background1" w:themeShade="A6"/>
              </w:rPr>
            </w:pPr>
            <w:r>
              <w:rPr>
                <w:color w:val="A6A6A6" w:themeColor="background1" w:themeShade="A6"/>
              </w:rPr>
              <w:t>1st UL RRC message has been sent successfully should also be considered. The scenario is applicable to both RA-SDT and CG-SDT.</w:t>
            </w:r>
          </w:p>
          <w:p w14:paraId="15B4B242" w14:textId="77777777" w:rsidR="00EA567C" w:rsidRDefault="00EA567C">
            <w:pPr>
              <w:spacing w:after="0"/>
              <w:rPr>
                <w:color w:val="A6A6A6" w:themeColor="background1" w:themeShade="A6"/>
              </w:rPr>
            </w:pPr>
          </w:p>
          <w:p w14:paraId="15B4B243" w14:textId="77777777" w:rsidR="00EA567C" w:rsidRDefault="00EA567C">
            <w:pPr>
              <w:spacing w:after="0"/>
              <w:rPr>
                <w:color w:val="A6A6A6" w:themeColor="background1" w:themeShade="A6"/>
              </w:rPr>
            </w:pPr>
          </w:p>
        </w:tc>
        <w:tc>
          <w:tcPr>
            <w:tcW w:w="1634" w:type="pct"/>
          </w:tcPr>
          <w:p w14:paraId="15B4B244" w14:textId="77777777" w:rsidR="00EA567C" w:rsidRDefault="00786B2D">
            <w:pPr>
              <w:spacing w:after="0"/>
              <w:rPr>
                <w:color w:val="0000CC"/>
              </w:rPr>
            </w:pPr>
            <w:r>
              <w:rPr>
                <w:color w:val="0000CC"/>
              </w:rPr>
              <w:t>The proposed scenario 3 aims to be addressed when explaining how CCCH and DCCH based approaches work in sections 3.2 and 3.3. Clarification text added before section 3.1 on this regard.</w:t>
            </w:r>
          </w:p>
        </w:tc>
      </w:tr>
      <w:tr w:rsidR="00EA567C" w14:paraId="15B4B25A" w14:textId="77777777">
        <w:tc>
          <w:tcPr>
            <w:tcW w:w="639" w:type="pct"/>
          </w:tcPr>
          <w:p w14:paraId="15B4B246" w14:textId="77777777" w:rsidR="00EA567C" w:rsidRDefault="00786B2D">
            <w:pPr>
              <w:spacing w:after="0"/>
              <w:rPr>
                <w:color w:val="A6A6A6" w:themeColor="background1" w:themeShade="A6"/>
              </w:rPr>
            </w:pPr>
            <w:r>
              <w:rPr>
                <w:color w:val="A6A6A6" w:themeColor="background1" w:themeShade="A6"/>
              </w:rPr>
              <w:t>APT</w:t>
            </w:r>
          </w:p>
        </w:tc>
        <w:tc>
          <w:tcPr>
            <w:tcW w:w="2727" w:type="pct"/>
          </w:tcPr>
          <w:p w14:paraId="15B4B247" w14:textId="77777777" w:rsidR="00EA567C" w:rsidRDefault="00786B2D">
            <w:pPr>
              <w:spacing w:after="0"/>
              <w:rPr>
                <w:color w:val="A6A6A6" w:themeColor="background1" w:themeShade="A6"/>
              </w:rPr>
            </w:pPr>
            <w:r>
              <w:rPr>
                <w:color w:val="A6A6A6" w:themeColor="background1" w:themeShade="A6"/>
                <w:lang w:eastAsia="zh-TW"/>
              </w:rPr>
              <w:t xml:space="preserve">Another </w:t>
            </w:r>
            <w:r>
              <w:rPr>
                <w:color w:val="A6A6A6" w:themeColor="background1" w:themeShade="A6"/>
              </w:rPr>
              <w:t xml:space="preserve">scenario worth considering: </w:t>
            </w:r>
          </w:p>
          <w:p w14:paraId="15B4B248" w14:textId="77777777" w:rsidR="00EA567C" w:rsidRDefault="00786B2D">
            <w:pPr>
              <w:spacing w:after="0"/>
              <w:rPr>
                <w:color w:val="A6A6A6" w:themeColor="background1" w:themeShade="A6"/>
              </w:rPr>
            </w:pPr>
            <w:r>
              <w:rPr>
                <w:color w:val="A6A6A6" w:themeColor="background1" w:themeShade="A6"/>
              </w:rPr>
              <w:t xml:space="preserve">Scenario 3) When non-SDT Data becomes available after UE has </w:t>
            </w:r>
            <w:r>
              <w:rPr>
                <w:color w:val="A6A6A6" w:themeColor="background1" w:themeShade="A6"/>
                <w:lang w:eastAsia="zh-TW"/>
              </w:rPr>
              <w:t>received</w:t>
            </w:r>
            <w:r>
              <w:rPr>
                <w:color w:val="A6A6A6" w:themeColor="background1" w:themeShade="A6"/>
              </w:rPr>
              <w:t xml:space="preserve"> the contention resolution corresponding to the 1</w:t>
            </w:r>
            <w:r>
              <w:rPr>
                <w:color w:val="A6A6A6" w:themeColor="background1" w:themeShade="A6"/>
                <w:vertAlign w:val="superscript"/>
              </w:rPr>
              <w:t>st</w:t>
            </w:r>
            <w:r>
              <w:rPr>
                <w:color w:val="A6A6A6" w:themeColor="background1" w:themeShade="A6"/>
              </w:rPr>
              <w:t xml:space="preserve"> RA-SDT transmission, but has not received RRC message from gNB (i.e., in the middle of subsequent SDT transmissions).</w:t>
            </w:r>
          </w:p>
          <w:p w14:paraId="15B4B249" w14:textId="77777777" w:rsidR="00EA567C" w:rsidRDefault="00786B2D">
            <w:pPr>
              <w:spacing w:after="0"/>
              <w:rPr>
                <w:color w:val="A6A6A6" w:themeColor="background1" w:themeShade="A6"/>
              </w:rPr>
            </w:pPr>
            <w:r>
              <w:rPr>
                <w:color w:val="A6A6A6" w:themeColor="background1" w:themeShade="A6"/>
              </w:rPr>
              <w:t xml:space="preserve">This scenario is particularly suitable for UE to use the DCCH approach to inform the arrival of non-SDT traffic. </w:t>
            </w:r>
          </w:p>
          <w:p w14:paraId="15B4B24A" w14:textId="77777777" w:rsidR="00EA567C" w:rsidRDefault="00EA567C">
            <w:pPr>
              <w:spacing w:after="0"/>
              <w:rPr>
                <w:color w:val="A6A6A6" w:themeColor="background1" w:themeShade="A6"/>
              </w:rPr>
            </w:pPr>
          </w:p>
          <w:p w14:paraId="15B4B24B" w14:textId="77777777" w:rsidR="00EA567C" w:rsidRDefault="00786B2D">
            <w:pPr>
              <w:spacing w:after="0"/>
              <w:rPr>
                <w:color w:val="A6A6A6" w:themeColor="background1" w:themeShade="A6"/>
              </w:rPr>
            </w:pPr>
            <w:r>
              <w:rPr>
                <w:color w:val="A6A6A6" w:themeColor="background1" w:themeShade="A6"/>
              </w:rPr>
              <w:t>In addition, it appears that scenarios 1 and 2 only take RA-SDT into account. For CG-SDT, the following scenarios may need to be considered as well:</w:t>
            </w:r>
          </w:p>
          <w:p w14:paraId="15B4B24C" w14:textId="77777777" w:rsidR="00EA567C" w:rsidRDefault="00EA567C">
            <w:pPr>
              <w:spacing w:after="0"/>
              <w:rPr>
                <w:color w:val="A6A6A6" w:themeColor="background1" w:themeShade="A6"/>
              </w:rPr>
            </w:pPr>
          </w:p>
          <w:p w14:paraId="15B4B24D" w14:textId="77777777" w:rsidR="00EA567C" w:rsidRDefault="00786B2D">
            <w:pPr>
              <w:rPr>
                <w:color w:val="A6A6A6" w:themeColor="background1" w:themeShade="A6"/>
              </w:rPr>
            </w:pPr>
            <w:r>
              <w:rPr>
                <w:color w:val="A6A6A6" w:themeColor="background1" w:themeShade="A6"/>
              </w:rPr>
              <w:lastRenderedPageBreak/>
              <w:t xml:space="preserve">Revised Scenario 1) When non-SDT Data becomes available after UE has initiated an SDT procedure, but 1st UL RRC message has not been sent yet. </w:t>
            </w:r>
            <w:r>
              <w:rPr>
                <w:b/>
                <w:bCs/>
                <w:color w:val="A6A6A6" w:themeColor="background1" w:themeShade="A6"/>
              </w:rPr>
              <w:t>For RA-SDT,</w:t>
            </w:r>
            <w:r>
              <w:rPr>
                <w:color w:val="A6A6A6" w:themeColor="background1" w:themeShade="A6"/>
              </w:rPr>
              <w:t xml:space="preserve"> this could be when UE has already sent PRACH preamble when using 4-step RA-SDT.</w:t>
            </w:r>
            <w:r>
              <w:rPr>
                <w:b/>
                <w:bCs/>
                <w:color w:val="A6A6A6" w:themeColor="background1" w:themeShade="A6"/>
              </w:rPr>
              <w:t xml:space="preserve"> For CG-SDT, this could be when UE has not sent the initial transmission via CG resource.</w:t>
            </w:r>
          </w:p>
          <w:p w14:paraId="15B4B24E" w14:textId="77777777" w:rsidR="00EA567C" w:rsidRDefault="00EA567C">
            <w:pPr>
              <w:spacing w:after="0"/>
              <w:rPr>
                <w:color w:val="A6A6A6" w:themeColor="background1" w:themeShade="A6"/>
              </w:rPr>
            </w:pPr>
          </w:p>
          <w:p w14:paraId="15B4B24F" w14:textId="77777777" w:rsidR="00EA567C" w:rsidRDefault="00786B2D">
            <w:pPr>
              <w:spacing w:after="0"/>
              <w:rPr>
                <w:color w:val="A6A6A6" w:themeColor="background1" w:themeShade="A6"/>
              </w:rPr>
            </w:pPr>
            <w:r>
              <w:rPr>
                <w:color w:val="A6A6A6" w:themeColor="background1" w:themeShade="A6"/>
              </w:rPr>
              <w:t>Scenario x) When non-SDT Data becomes available after UE has initiated an SDT procedure and has sent the 1st UL RRC message via CG resource, but the feedback has not been received by UE in CG response window.</w:t>
            </w:r>
          </w:p>
          <w:p w14:paraId="15B4B250" w14:textId="77777777" w:rsidR="00EA567C" w:rsidRDefault="00EA567C">
            <w:pPr>
              <w:spacing w:after="0"/>
              <w:rPr>
                <w:color w:val="A6A6A6" w:themeColor="background1" w:themeShade="A6"/>
              </w:rPr>
            </w:pPr>
          </w:p>
        </w:tc>
        <w:tc>
          <w:tcPr>
            <w:tcW w:w="1634" w:type="pct"/>
          </w:tcPr>
          <w:p w14:paraId="15B4B251" w14:textId="77777777" w:rsidR="00EA567C" w:rsidRDefault="00786B2D">
            <w:pPr>
              <w:spacing w:after="0"/>
              <w:rPr>
                <w:color w:val="0000CC"/>
                <w:lang w:eastAsia="zh-TW"/>
              </w:rPr>
            </w:pPr>
            <w:r>
              <w:rPr>
                <w:color w:val="0000CC"/>
                <w:lang w:eastAsia="zh-TW"/>
              </w:rPr>
              <w:lastRenderedPageBreak/>
              <w:t>For scenario 3), see response to CATT’s comment.</w:t>
            </w:r>
          </w:p>
          <w:p w14:paraId="15B4B252" w14:textId="77777777" w:rsidR="00EA567C" w:rsidRDefault="00EA567C">
            <w:pPr>
              <w:spacing w:after="0"/>
              <w:rPr>
                <w:color w:val="0000CC"/>
                <w:lang w:eastAsia="zh-TW"/>
              </w:rPr>
            </w:pPr>
          </w:p>
          <w:p w14:paraId="15B4B253" w14:textId="77777777" w:rsidR="00EA567C" w:rsidRDefault="00EA567C">
            <w:pPr>
              <w:spacing w:after="0"/>
              <w:rPr>
                <w:color w:val="0000CC"/>
                <w:lang w:eastAsia="zh-TW"/>
              </w:rPr>
            </w:pPr>
          </w:p>
          <w:p w14:paraId="15B4B254" w14:textId="77777777" w:rsidR="00EA567C" w:rsidRDefault="00EA567C">
            <w:pPr>
              <w:spacing w:after="0"/>
              <w:rPr>
                <w:color w:val="0000CC"/>
                <w:lang w:eastAsia="zh-TW"/>
              </w:rPr>
            </w:pPr>
          </w:p>
          <w:p w14:paraId="15B4B255" w14:textId="77777777" w:rsidR="00EA567C" w:rsidRDefault="00EA567C">
            <w:pPr>
              <w:spacing w:after="0"/>
              <w:rPr>
                <w:color w:val="0000CC"/>
                <w:lang w:eastAsia="zh-TW"/>
              </w:rPr>
            </w:pPr>
          </w:p>
          <w:p w14:paraId="15B4B256" w14:textId="77777777" w:rsidR="00EA567C" w:rsidRDefault="00EA567C">
            <w:pPr>
              <w:spacing w:after="0"/>
              <w:rPr>
                <w:color w:val="0000CC"/>
                <w:lang w:eastAsia="zh-TW"/>
              </w:rPr>
            </w:pPr>
          </w:p>
          <w:p w14:paraId="15B4B257" w14:textId="77777777" w:rsidR="00EA567C" w:rsidRDefault="00EA567C">
            <w:pPr>
              <w:spacing w:after="0"/>
              <w:rPr>
                <w:color w:val="0000CC"/>
                <w:lang w:eastAsia="zh-TW"/>
              </w:rPr>
            </w:pPr>
          </w:p>
          <w:p w14:paraId="15B4B258" w14:textId="77777777" w:rsidR="00EA567C" w:rsidRDefault="00EA567C">
            <w:pPr>
              <w:spacing w:after="0"/>
              <w:rPr>
                <w:color w:val="0000CC"/>
                <w:lang w:eastAsia="zh-TW"/>
              </w:rPr>
            </w:pPr>
          </w:p>
          <w:p w14:paraId="15B4B259" w14:textId="77777777" w:rsidR="00EA567C" w:rsidRDefault="00786B2D">
            <w:pPr>
              <w:spacing w:after="0"/>
              <w:rPr>
                <w:lang w:eastAsia="zh-TW"/>
              </w:rPr>
            </w:pPr>
            <w:r>
              <w:rPr>
                <w:color w:val="0000CC"/>
                <w:lang w:eastAsia="zh-TW"/>
              </w:rPr>
              <w:t>For CG-SDT, it is clarified that scenarios 1) and 2) target on RA-SDT, and the new scenario x) is added targeting CG-SDT. However, it is not added “For CG-</w:t>
            </w:r>
            <w:r>
              <w:rPr>
                <w:color w:val="0000CC"/>
                <w:lang w:eastAsia="zh-TW"/>
              </w:rPr>
              <w:lastRenderedPageBreak/>
              <w:t xml:space="preserve">SDT, this could be when UE has not sent the initial transmission via CG resource” as </w:t>
            </w:r>
            <w:r>
              <w:rPr>
                <w:color w:val="0000CC"/>
              </w:rPr>
              <w:t xml:space="preserve">the rapporteur assumes that </w:t>
            </w:r>
            <w:r>
              <w:rPr>
                <w:color w:val="0000CC"/>
                <w:lang w:eastAsia="zh-TW"/>
              </w:rPr>
              <w:t>this can be handled by UE implementation (as UE has not sent anything yet).</w:t>
            </w:r>
          </w:p>
        </w:tc>
      </w:tr>
      <w:tr w:rsidR="00EA567C" w14:paraId="15B4B25E" w14:textId="77777777">
        <w:tc>
          <w:tcPr>
            <w:tcW w:w="639" w:type="pct"/>
          </w:tcPr>
          <w:p w14:paraId="15B4B25B" w14:textId="77777777" w:rsidR="00EA567C" w:rsidRDefault="00786B2D">
            <w:pPr>
              <w:spacing w:after="0"/>
              <w:rPr>
                <w:color w:val="A6A6A6" w:themeColor="background1" w:themeShade="A6"/>
              </w:rPr>
            </w:pPr>
            <w:r>
              <w:rPr>
                <w:color w:val="A6A6A6" w:themeColor="background1" w:themeShade="A6"/>
              </w:rPr>
              <w:lastRenderedPageBreak/>
              <w:t>Huawei, HiSilicon</w:t>
            </w:r>
          </w:p>
        </w:tc>
        <w:tc>
          <w:tcPr>
            <w:tcW w:w="2727" w:type="pct"/>
          </w:tcPr>
          <w:p w14:paraId="15B4B25C" w14:textId="77777777" w:rsidR="00EA567C" w:rsidRDefault="00786B2D">
            <w:pPr>
              <w:spacing w:after="0"/>
              <w:rPr>
                <w:color w:val="A6A6A6" w:themeColor="background1" w:themeShade="A6"/>
                <w:lang w:eastAsia="zh-TW"/>
              </w:rPr>
            </w:pPr>
            <w:r>
              <w:rPr>
                <w:color w:val="A6A6A6" w:themeColor="background1" w:themeShade="A6"/>
              </w:rPr>
              <w:t>The answer to this issue will most likely be different for CCCH and for DCCH based approaches, so we suggest to discuss this issue for both approaches separately.</w:t>
            </w:r>
          </w:p>
        </w:tc>
        <w:tc>
          <w:tcPr>
            <w:tcW w:w="1634" w:type="pct"/>
          </w:tcPr>
          <w:p w14:paraId="15B4B25D" w14:textId="77777777" w:rsidR="00EA567C" w:rsidRDefault="00786B2D">
            <w:pPr>
              <w:spacing w:after="0"/>
            </w:pPr>
            <w:r>
              <w:rPr>
                <w:color w:val="0000CC"/>
              </w:rPr>
              <w:t>Since this is before SDT initialization, the rapporteur assumes it is the same for both approaches.  Instead of moving this to separate sections, rapporteur suggests that companies can provide differences if they see any in phase 2.  A sentence is added to the question along these lines.</w:t>
            </w:r>
          </w:p>
        </w:tc>
      </w:tr>
      <w:tr w:rsidR="00EA567C" w14:paraId="15B4B266" w14:textId="77777777">
        <w:tc>
          <w:tcPr>
            <w:tcW w:w="639" w:type="pct"/>
          </w:tcPr>
          <w:p w14:paraId="15B4B25F" w14:textId="77777777" w:rsidR="00EA567C" w:rsidRDefault="00786B2D">
            <w:pPr>
              <w:spacing w:after="0"/>
              <w:rPr>
                <w:color w:val="A6A6A6" w:themeColor="background1" w:themeShade="A6"/>
              </w:rPr>
            </w:pPr>
            <w:r>
              <w:rPr>
                <w:color w:val="A6A6A6" w:themeColor="background1" w:themeShade="A6"/>
                <w:lang w:eastAsia="zh-CN"/>
              </w:rPr>
              <w:t>TCL</w:t>
            </w:r>
          </w:p>
        </w:tc>
        <w:tc>
          <w:tcPr>
            <w:tcW w:w="2727" w:type="pct"/>
          </w:tcPr>
          <w:p w14:paraId="15B4B260" w14:textId="77777777" w:rsidR="00EA567C" w:rsidRDefault="00786B2D">
            <w:pPr>
              <w:spacing w:after="0"/>
              <w:rPr>
                <w:color w:val="A6A6A6" w:themeColor="background1" w:themeShade="A6"/>
                <w:lang w:eastAsia="zh-CN"/>
              </w:rPr>
            </w:pPr>
            <w:r>
              <w:rPr>
                <w:color w:val="A6A6A6" w:themeColor="background1" w:themeShade="A6"/>
                <w:lang w:eastAsia="zh-CN"/>
              </w:rPr>
              <w:t xml:space="preserve">We are generally fine with the proposal. </w:t>
            </w:r>
          </w:p>
          <w:p w14:paraId="15B4B261" w14:textId="77777777" w:rsidR="00EA567C" w:rsidRDefault="00786B2D">
            <w:pPr>
              <w:spacing w:after="0"/>
              <w:rPr>
                <w:color w:val="A6A6A6" w:themeColor="background1" w:themeShade="A6"/>
                <w:lang w:eastAsia="zh-CN"/>
              </w:rPr>
            </w:pPr>
            <w:r>
              <w:rPr>
                <w:color w:val="A6A6A6" w:themeColor="background1" w:themeShade="A6"/>
                <w:lang w:eastAsia="zh-CN"/>
              </w:rPr>
              <w:t>However, we are wondering whether the subsequent SDT transmission is to be considered in this discussion as APT mentioned. For if there is subsequent SDT transmission, the subsequent SDT transmission may have impact on the handling of the non-SDT transmission. So the following scenario is suggested:</w:t>
            </w:r>
          </w:p>
          <w:p w14:paraId="15B4B262" w14:textId="77777777" w:rsidR="00EA567C" w:rsidRDefault="00EA567C">
            <w:pPr>
              <w:spacing w:after="0"/>
              <w:rPr>
                <w:color w:val="A6A6A6" w:themeColor="background1" w:themeShade="A6"/>
                <w:lang w:eastAsia="zh-CN"/>
              </w:rPr>
            </w:pPr>
          </w:p>
          <w:p w14:paraId="15B4B263" w14:textId="77777777" w:rsidR="00EA567C" w:rsidRDefault="00786B2D">
            <w:pPr>
              <w:spacing w:after="0"/>
              <w:rPr>
                <w:color w:val="A6A6A6" w:themeColor="background1" w:themeShade="A6"/>
              </w:rPr>
            </w:pPr>
            <w:r>
              <w:rPr>
                <w:color w:val="A6A6A6" w:themeColor="background1" w:themeShade="A6"/>
                <w:lang w:eastAsia="zh-CN"/>
              </w:rPr>
              <w:t>Scenario x) When the non-SDT data arrival after the first SDT transmission is finished, and the subsequent SDT is to be performed.</w:t>
            </w:r>
          </w:p>
        </w:tc>
        <w:tc>
          <w:tcPr>
            <w:tcW w:w="1634" w:type="pct"/>
          </w:tcPr>
          <w:p w14:paraId="15B4B264" w14:textId="77777777" w:rsidR="00EA567C" w:rsidRDefault="00786B2D">
            <w:pPr>
              <w:spacing w:after="0"/>
              <w:rPr>
                <w:color w:val="0000CC"/>
                <w:lang w:eastAsia="zh-TW"/>
              </w:rPr>
            </w:pPr>
            <w:r>
              <w:rPr>
                <w:color w:val="0000CC"/>
                <w:lang w:eastAsia="zh-TW"/>
              </w:rPr>
              <w:t xml:space="preserve">For sub-sequent SDT (i.e. scenario 3), see response to CATT’s comment. </w:t>
            </w:r>
          </w:p>
          <w:p w14:paraId="15B4B265" w14:textId="77777777" w:rsidR="00EA567C" w:rsidRDefault="00EA567C">
            <w:pPr>
              <w:spacing w:after="0"/>
              <w:rPr>
                <w:lang w:eastAsia="zh-CN"/>
              </w:rPr>
            </w:pPr>
          </w:p>
        </w:tc>
      </w:tr>
      <w:tr w:rsidR="00EA567C" w14:paraId="15B4B26A" w14:textId="77777777">
        <w:tc>
          <w:tcPr>
            <w:tcW w:w="639" w:type="pct"/>
          </w:tcPr>
          <w:p w14:paraId="15B4B267" w14:textId="77777777" w:rsidR="00EA567C" w:rsidRDefault="00786B2D">
            <w:pPr>
              <w:spacing w:after="0"/>
              <w:rPr>
                <w:color w:val="A6A6A6" w:themeColor="background1" w:themeShade="A6"/>
                <w:lang w:eastAsia="zh-CN"/>
              </w:rPr>
            </w:pPr>
            <w:r>
              <w:rPr>
                <w:color w:val="A6A6A6" w:themeColor="background1" w:themeShade="A6"/>
                <w:lang w:eastAsia="zh-CN"/>
              </w:rPr>
              <w:t>NEC</w:t>
            </w:r>
          </w:p>
        </w:tc>
        <w:tc>
          <w:tcPr>
            <w:tcW w:w="2727" w:type="pct"/>
          </w:tcPr>
          <w:p w14:paraId="15B4B268" w14:textId="77777777" w:rsidR="00EA567C" w:rsidRDefault="00786B2D">
            <w:pPr>
              <w:spacing w:after="0"/>
              <w:rPr>
                <w:color w:val="A6A6A6" w:themeColor="background1" w:themeShade="A6"/>
                <w:lang w:eastAsia="zh-CN"/>
              </w:rPr>
            </w:pPr>
            <w:r>
              <w:rPr>
                <w:color w:val="A6A6A6" w:themeColor="background1" w:themeShade="A6"/>
                <w:lang w:eastAsia="zh-CN"/>
              </w:rPr>
              <w:t>We also think we need to consider the scenario of non-SDT data arrival during subsequent transmission phase.</w:t>
            </w:r>
          </w:p>
        </w:tc>
        <w:tc>
          <w:tcPr>
            <w:tcW w:w="1634" w:type="pct"/>
          </w:tcPr>
          <w:p w14:paraId="15B4B269" w14:textId="77777777" w:rsidR="00EA567C" w:rsidRDefault="00786B2D">
            <w:pPr>
              <w:spacing w:after="0"/>
              <w:rPr>
                <w:color w:val="0000CC"/>
                <w:lang w:eastAsia="zh-TW"/>
              </w:rPr>
            </w:pPr>
            <w:r>
              <w:rPr>
                <w:color w:val="0000CC"/>
                <w:lang w:eastAsia="zh-TW"/>
              </w:rPr>
              <w:t xml:space="preserve">For sub-sequent SDT (i.e. scenario 3), see response to CATT’s comment. </w:t>
            </w:r>
          </w:p>
        </w:tc>
      </w:tr>
    </w:tbl>
    <w:p w14:paraId="15B4B26B" w14:textId="77777777" w:rsidR="00EA567C" w:rsidRDefault="00EA567C">
      <w:pPr>
        <w:rPr>
          <w:rFonts w:ascii="Times New Roman" w:hAnsi="Times New Roman" w:cs="Times New Roman"/>
          <w:sz w:val="20"/>
          <w:szCs w:val="20"/>
        </w:rPr>
      </w:pPr>
    </w:p>
    <w:p w14:paraId="15B4B26C" w14:textId="77777777" w:rsidR="00EA567C" w:rsidRDefault="00786B2D">
      <w:pPr>
        <w:pStyle w:val="4"/>
      </w:pPr>
      <w:r>
        <w:t xml:space="preserve">New points to section </w:t>
      </w:r>
      <w:r>
        <w:fldChar w:fldCharType="begin"/>
      </w:r>
      <w:r>
        <w:instrText xml:space="preserve"> REF _Ref74125826 \r \h </w:instrText>
      </w:r>
      <w:r>
        <w:fldChar w:fldCharType="separate"/>
      </w:r>
      <w:r>
        <w:t>3.2</w:t>
      </w:r>
      <w:r>
        <w:fldChar w:fldCharType="end"/>
      </w:r>
      <w:r>
        <w:t xml:space="preserve"> (identified during 1</w:t>
      </w:r>
      <w:r>
        <w:rPr>
          <w:vertAlign w:val="superscript"/>
        </w:rPr>
        <w:t>st</w:t>
      </w:r>
      <w:r>
        <w:t xml:space="preserve"> phase)</w:t>
      </w:r>
    </w:p>
    <w:p w14:paraId="15B4B26D" w14:textId="77777777" w:rsidR="00EA567C" w:rsidRDefault="00786B2D">
      <w:pPr>
        <w:rPr>
          <w:rFonts w:ascii="Times New Roman" w:hAnsi="Times New Roman" w:cs="Times New Roman"/>
          <w:sz w:val="20"/>
          <w:szCs w:val="20"/>
        </w:rPr>
      </w:pPr>
      <w:r>
        <w:rPr>
          <w:rFonts w:ascii="Times New Roman" w:hAnsi="Times New Roman" w:cs="Times New Roman"/>
          <w:sz w:val="20"/>
          <w:szCs w:val="20"/>
        </w:rPr>
        <w:t xml:space="preserve">Please indicate if there are any other topics/questions that require to be addressed as part of this </w:t>
      </w:r>
      <w:r>
        <w:rPr>
          <w:rFonts w:ascii="Times New Roman" w:hAnsi="Times New Roman" w:cs="Times New Roman"/>
          <w:b/>
          <w:bCs/>
          <w:sz w:val="20"/>
          <w:szCs w:val="20"/>
        </w:rPr>
        <w:t>section 3.2</w:t>
      </w:r>
      <w:r>
        <w:rPr>
          <w:rFonts w:ascii="Times New Roman" w:hAnsi="Times New Roman" w:cs="Times New Roman"/>
          <w:sz w:val="20"/>
          <w:szCs w:val="20"/>
        </w:rPr>
        <w:t xml:space="preserve">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_Ref74125826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CCCH-based approach</w:t>
      </w:r>
      <w:r>
        <w:rPr>
          <w:rFonts w:ascii="Times New Roman" w:hAnsi="Times New Roman" w:cs="Times New Roman"/>
          <w:sz w:val="20"/>
          <w:szCs w:val="20"/>
        </w:rPr>
        <w:fldChar w:fldCharType="end"/>
      </w:r>
      <w:r>
        <w:rPr>
          <w:rFonts w:ascii="Times New Roman" w:hAnsi="Times New Roman" w:cs="Times New Roman"/>
          <w:sz w:val="20"/>
          <w:szCs w:val="20"/>
        </w:rPr>
        <w:t>” for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_Ref74146724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Non-SDT data handling during ongoing SDT session</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ab"/>
        <w:tblW w:w="5000" w:type="pct"/>
        <w:tblLook w:val="04A0" w:firstRow="1" w:lastRow="0" w:firstColumn="1" w:lastColumn="0" w:noHBand="0" w:noVBand="1"/>
      </w:tblPr>
      <w:tblGrid>
        <w:gridCol w:w="1195"/>
        <w:gridCol w:w="5099"/>
        <w:gridCol w:w="3056"/>
      </w:tblGrid>
      <w:tr w:rsidR="00EA567C" w14:paraId="15B4B271" w14:textId="77777777">
        <w:tc>
          <w:tcPr>
            <w:tcW w:w="639" w:type="pct"/>
            <w:shd w:val="clear" w:color="auto" w:fill="BFBFBF" w:themeFill="background1" w:themeFillShade="BF"/>
          </w:tcPr>
          <w:p w14:paraId="15B4B26E" w14:textId="77777777" w:rsidR="00EA567C" w:rsidRDefault="00786B2D">
            <w:pPr>
              <w:spacing w:after="0"/>
              <w:jc w:val="center"/>
              <w:rPr>
                <w:b/>
                <w:bCs/>
              </w:rPr>
            </w:pPr>
            <w:r>
              <w:rPr>
                <w:b/>
                <w:bCs/>
              </w:rPr>
              <w:t>Company’s name</w:t>
            </w:r>
          </w:p>
        </w:tc>
        <w:tc>
          <w:tcPr>
            <w:tcW w:w="2727" w:type="pct"/>
            <w:shd w:val="clear" w:color="auto" w:fill="BFBFBF" w:themeFill="background1" w:themeFillShade="BF"/>
          </w:tcPr>
          <w:p w14:paraId="15B4B26F" w14:textId="77777777" w:rsidR="00EA567C" w:rsidRDefault="00786B2D">
            <w:pPr>
              <w:spacing w:after="0"/>
              <w:jc w:val="center"/>
              <w:rPr>
                <w:b/>
                <w:bCs/>
              </w:rPr>
            </w:pPr>
            <w:r>
              <w:rPr>
                <w:b/>
                <w:bCs/>
              </w:rPr>
              <w:t>Companies’ views</w:t>
            </w:r>
          </w:p>
        </w:tc>
        <w:tc>
          <w:tcPr>
            <w:tcW w:w="1634" w:type="pct"/>
            <w:shd w:val="clear" w:color="auto" w:fill="BFBFBF" w:themeFill="background1" w:themeFillShade="BF"/>
          </w:tcPr>
          <w:p w14:paraId="15B4B270" w14:textId="77777777" w:rsidR="00EA567C" w:rsidRDefault="00786B2D">
            <w:pPr>
              <w:spacing w:after="0"/>
              <w:jc w:val="center"/>
              <w:rPr>
                <w:b/>
                <w:bCs/>
                <w:color w:val="0000CC"/>
              </w:rPr>
            </w:pPr>
            <w:r>
              <w:rPr>
                <w:b/>
                <w:bCs/>
                <w:color w:val="0000CC"/>
              </w:rPr>
              <w:t>Rapporteur’s response</w:t>
            </w:r>
          </w:p>
        </w:tc>
      </w:tr>
      <w:tr w:rsidR="00EA567C" w14:paraId="15B4B27F" w14:textId="77777777">
        <w:tc>
          <w:tcPr>
            <w:tcW w:w="639" w:type="pct"/>
          </w:tcPr>
          <w:p w14:paraId="15B4B272" w14:textId="77777777" w:rsidR="00EA567C" w:rsidRDefault="00786B2D">
            <w:pPr>
              <w:spacing w:after="0"/>
              <w:rPr>
                <w:color w:val="A6A6A6" w:themeColor="background1" w:themeShade="A6"/>
              </w:rPr>
            </w:pPr>
            <w:r>
              <w:rPr>
                <w:color w:val="A6A6A6" w:themeColor="background1" w:themeShade="A6"/>
              </w:rPr>
              <w:t>ZTE</w:t>
            </w:r>
          </w:p>
        </w:tc>
        <w:tc>
          <w:tcPr>
            <w:tcW w:w="2727" w:type="pct"/>
          </w:tcPr>
          <w:p w14:paraId="15B4B273" w14:textId="77777777" w:rsidR="00EA567C" w:rsidRDefault="00786B2D">
            <w:pPr>
              <w:spacing w:after="0"/>
              <w:rPr>
                <w:color w:val="A6A6A6" w:themeColor="background1" w:themeShade="A6"/>
              </w:rPr>
            </w:pPr>
            <w:r>
              <w:rPr>
                <w:color w:val="A6A6A6" w:themeColor="background1" w:themeShade="A6"/>
              </w:rPr>
              <w:t xml:space="preserve">For section 3.2.1.1, in case the UE triggers new RRCResume procedure autonomously after releasing the current SDT session, then according to the current release procedure, the UE has to perform PDCP suspend operation and discard all buffered PDCP PDUs. It needs to be clarified whether this is the intention (in which case we need to understand how to handle data loss prevention etc). </w:t>
            </w:r>
          </w:p>
          <w:p w14:paraId="15B4B274" w14:textId="77777777" w:rsidR="00EA567C" w:rsidRDefault="00786B2D">
            <w:pPr>
              <w:spacing w:after="0"/>
              <w:rPr>
                <w:color w:val="A6A6A6" w:themeColor="background1" w:themeShade="A6"/>
              </w:rPr>
            </w:pPr>
            <w:r>
              <w:rPr>
                <w:color w:val="A6A6A6" w:themeColor="background1" w:themeShade="A6"/>
              </w:rPr>
              <w:lastRenderedPageBreak/>
              <w:t xml:space="preserve">In case different operation is intended than legacy release, then it seems NW has to distinguish between the first and second RRCResume procedures and take different action accordingly and these details need to be understood too. Questions to narrow down these options and to understand how the actual procedure works will be useful. </w:t>
            </w:r>
          </w:p>
          <w:p w14:paraId="15B4B275" w14:textId="77777777" w:rsidR="00EA567C" w:rsidRDefault="00EA567C">
            <w:pPr>
              <w:spacing w:after="0"/>
              <w:rPr>
                <w:color w:val="A6A6A6" w:themeColor="background1" w:themeShade="A6"/>
              </w:rPr>
            </w:pPr>
          </w:p>
          <w:p w14:paraId="15B4B276" w14:textId="77777777" w:rsidR="00EA567C" w:rsidRDefault="00786B2D">
            <w:pPr>
              <w:spacing w:after="0"/>
              <w:rPr>
                <w:color w:val="A6A6A6" w:themeColor="background1" w:themeShade="A6"/>
              </w:rPr>
            </w:pPr>
            <w:r>
              <w:rPr>
                <w:color w:val="A6A6A6" w:themeColor="background1" w:themeShade="A6"/>
              </w:rPr>
              <w:t xml:space="preserve">Just one other observation is that some of the questions/discussion in the above sections may be inter-related (for instance depending on which node - Anchor/new target - handles the second CCCH message, the security of the second CCCH message should be adjusted accordingly – i.e. these questions are interrelated), other than that, we think the general observations and discussion points have been captured accurately. </w:t>
            </w:r>
          </w:p>
        </w:tc>
        <w:tc>
          <w:tcPr>
            <w:tcW w:w="1634" w:type="pct"/>
          </w:tcPr>
          <w:p w14:paraId="15B4B277" w14:textId="77777777" w:rsidR="00EA567C" w:rsidRDefault="00786B2D">
            <w:pPr>
              <w:spacing w:after="0"/>
              <w:rPr>
                <w:color w:val="0000CC"/>
              </w:rPr>
            </w:pPr>
            <w:r>
              <w:rPr>
                <w:color w:val="0000CC"/>
              </w:rPr>
              <w:lastRenderedPageBreak/>
              <w:t>For 3.2.1.1), Added a new discussion to address the open question explained is added. Note that this “new” point is somehow inter-related with the following discussion on section 3.2.4 that addresses the “PDCP COUNT and/or security key to be used”</w:t>
            </w:r>
          </w:p>
          <w:p w14:paraId="15B4B278" w14:textId="77777777" w:rsidR="00EA567C" w:rsidRDefault="00EA567C">
            <w:pPr>
              <w:spacing w:after="0"/>
              <w:rPr>
                <w:color w:val="0000CC"/>
              </w:rPr>
            </w:pPr>
          </w:p>
          <w:p w14:paraId="15B4B279" w14:textId="77777777" w:rsidR="00EA567C" w:rsidRDefault="00EA567C">
            <w:pPr>
              <w:spacing w:after="0"/>
              <w:rPr>
                <w:color w:val="0000CC"/>
              </w:rPr>
            </w:pPr>
          </w:p>
          <w:p w14:paraId="15B4B27A" w14:textId="77777777" w:rsidR="00EA567C" w:rsidRDefault="00EA567C">
            <w:pPr>
              <w:spacing w:after="0"/>
              <w:rPr>
                <w:color w:val="0000CC"/>
              </w:rPr>
            </w:pPr>
          </w:p>
          <w:p w14:paraId="15B4B27B" w14:textId="77777777" w:rsidR="00EA567C" w:rsidRDefault="00EA567C">
            <w:pPr>
              <w:spacing w:after="0"/>
              <w:rPr>
                <w:color w:val="0000CC"/>
              </w:rPr>
            </w:pPr>
          </w:p>
          <w:p w14:paraId="15B4B27C" w14:textId="77777777" w:rsidR="00EA567C" w:rsidRDefault="00EA567C">
            <w:pPr>
              <w:spacing w:after="0"/>
              <w:rPr>
                <w:color w:val="0000CC"/>
              </w:rPr>
            </w:pPr>
          </w:p>
          <w:p w14:paraId="15B4B27D" w14:textId="77777777" w:rsidR="00EA567C" w:rsidRDefault="00786B2D">
            <w:pPr>
              <w:spacing w:after="0"/>
              <w:rPr>
                <w:color w:val="0000CC"/>
              </w:rPr>
            </w:pPr>
            <w:r>
              <w:rPr>
                <w:color w:val="0000CC"/>
              </w:rPr>
              <w:t>On the point that “some of the questions/discussion in the above sections may be inter-related”, this is indeed the case and companies are encouraged to provide consistent/align view on the inter-related topics.</w:t>
            </w:r>
          </w:p>
          <w:p w14:paraId="15B4B27E" w14:textId="77777777" w:rsidR="00EA567C" w:rsidRDefault="00EA567C">
            <w:pPr>
              <w:spacing w:after="0"/>
              <w:rPr>
                <w:color w:val="0000CC"/>
              </w:rPr>
            </w:pPr>
          </w:p>
        </w:tc>
      </w:tr>
      <w:tr w:rsidR="00EA567C" w14:paraId="15B4B293" w14:textId="77777777">
        <w:tc>
          <w:tcPr>
            <w:tcW w:w="639" w:type="pct"/>
          </w:tcPr>
          <w:p w14:paraId="15B4B280" w14:textId="77777777" w:rsidR="00EA567C" w:rsidRDefault="00786B2D">
            <w:pPr>
              <w:spacing w:after="0"/>
              <w:rPr>
                <w:color w:val="A6A6A6" w:themeColor="background1" w:themeShade="A6"/>
              </w:rPr>
            </w:pPr>
            <w:r>
              <w:rPr>
                <w:color w:val="A6A6A6" w:themeColor="background1" w:themeShade="A6"/>
              </w:rPr>
              <w:lastRenderedPageBreak/>
              <w:t>Huawei, HiSilicon</w:t>
            </w:r>
          </w:p>
        </w:tc>
        <w:tc>
          <w:tcPr>
            <w:tcW w:w="2727" w:type="pct"/>
          </w:tcPr>
          <w:p w14:paraId="15B4B281" w14:textId="77777777" w:rsidR="00EA567C" w:rsidRDefault="00786B2D">
            <w:pPr>
              <w:spacing w:after="0"/>
              <w:rPr>
                <w:color w:val="A6A6A6" w:themeColor="background1" w:themeShade="A6"/>
              </w:rPr>
            </w:pPr>
            <w:r>
              <w:rPr>
                <w:color w:val="A6A6A6" w:themeColor="background1" w:themeShade="A6"/>
              </w:rPr>
              <w:t xml:space="preserve">Discussion point 6) is relevant only in case SA3 indicates there is an issue with reusing the security material / existing key (i.e. if they conclude there is no issue, then there seems to be no reason to have option other than 6d)). Hence, we propose to clarify that 6d) is the baseline assumption and discuss only the remaining options, just in case SA3 confirms the issue. Also, we are not sure what option 6a) describes. It can either be understood as option 6b) or option 6d). We propose to remove it, especially that our paper is given as a reference, but what we propose is already captured by option 6d) and 6e). </w:t>
            </w:r>
          </w:p>
          <w:p w14:paraId="15B4B282" w14:textId="77777777" w:rsidR="00EA567C" w:rsidRDefault="00EA567C">
            <w:pPr>
              <w:spacing w:after="0"/>
              <w:rPr>
                <w:color w:val="A6A6A6" w:themeColor="background1" w:themeShade="A6"/>
              </w:rPr>
            </w:pPr>
          </w:p>
          <w:p w14:paraId="15B4B283" w14:textId="77777777" w:rsidR="00EA567C" w:rsidRDefault="00786B2D">
            <w:pPr>
              <w:spacing w:after="0"/>
              <w:rPr>
                <w:color w:val="A6A6A6" w:themeColor="background1" w:themeShade="A6"/>
              </w:rPr>
            </w:pPr>
            <w:r>
              <w:rPr>
                <w:color w:val="A6A6A6" w:themeColor="background1" w:themeShade="A6"/>
              </w:rPr>
              <w:t>Discussion point 7) – option a) and option b) are not described properly, i.e. the legacy behavior is for the new gNB to send UE CONTEXT RELEASE message to the old anchor:</w:t>
            </w:r>
          </w:p>
          <w:p w14:paraId="15B4B284" w14:textId="77777777" w:rsidR="00EA567C" w:rsidRDefault="00786B2D">
            <w:pPr>
              <w:pStyle w:val="ae"/>
              <w:numPr>
                <w:ilvl w:val="0"/>
                <w:numId w:val="29"/>
              </w:numPr>
              <w:rPr>
                <w:color w:val="A6A6A6" w:themeColor="background1" w:themeShade="A6"/>
              </w:rPr>
            </w:pPr>
            <w:r>
              <w:rPr>
                <w:color w:val="A6A6A6" w:themeColor="background1" w:themeShade="A6"/>
              </w:rPr>
              <w:t>After Path switch and after sending RRCRelease w/ suspend (for RNA update with anchor relocation)</w:t>
            </w:r>
          </w:p>
          <w:p w14:paraId="15B4B285" w14:textId="77777777" w:rsidR="00EA567C" w:rsidRDefault="00786B2D">
            <w:pPr>
              <w:pStyle w:val="a9"/>
              <w:numPr>
                <w:ilvl w:val="0"/>
                <w:numId w:val="29"/>
              </w:numPr>
              <w:spacing w:after="0"/>
              <w:rPr>
                <w:color w:val="A6A6A6" w:themeColor="background1" w:themeShade="A6"/>
              </w:rPr>
            </w:pPr>
            <w:r>
              <w:rPr>
                <w:color w:val="A6A6A6" w:themeColor="background1" w:themeShade="A6"/>
              </w:rPr>
              <w:t>After Path Switch and after receiving RRCResumeComplete from the UE (for moving the UE to RRC Connected).</w:t>
            </w:r>
          </w:p>
          <w:p w14:paraId="15B4B286" w14:textId="77777777" w:rsidR="00EA567C" w:rsidRDefault="00EA567C">
            <w:pPr>
              <w:spacing w:after="0"/>
              <w:rPr>
                <w:color w:val="A6A6A6" w:themeColor="background1" w:themeShade="A6"/>
              </w:rPr>
            </w:pPr>
          </w:p>
          <w:p w14:paraId="15B4B287" w14:textId="77777777" w:rsidR="00EA567C" w:rsidRDefault="00786B2D">
            <w:pPr>
              <w:spacing w:after="0"/>
              <w:rPr>
                <w:color w:val="A6A6A6" w:themeColor="background1" w:themeShade="A6"/>
              </w:rPr>
            </w:pPr>
            <w:r>
              <w:rPr>
                <w:color w:val="A6A6A6" w:themeColor="background1" w:themeShade="A6"/>
              </w:rPr>
              <w:t>This can be seen in TS 38.300 sections 9.2.2.4.1 and 9.2.2.5.</w:t>
            </w:r>
          </w:p>
        </w:tc>
        <w:tc>
          <w:tcPr>
            <w:tcW w:w="1634" w:type="pct"/>
          </w:tcPr>
          <w:p w14:paraId="15B4B288" w14:textId="77777777" w:rsidR="00EA567C" w:rsidRDefault="00786B2D">
            <w:pPr>
              <w:spacing w:after="0"/>
              <w:rPr>
                <w:color w:val="0000CC"/>
              </w:rPr>
            </w:pPr>
            <w:r>
              <w:rPr>
                <w:color w:val="0000CC"/>
              </w:rPr>
              <w:t xml:space="preserve">For section 3.2.5, there is indeed some dependency to SA3 but at the same time some of the options discussed there are also related to other topics e.g. previous section 3.2.4. Note that SA3 dependencies already are indicated within section 3.2.5 and also in the new question </w:t>
            </w:r>
            <w:r>
              <w:rPr>
                <w:color w:val="0000CC"/>
              </w:rPr>
              <w:fldChar w:fldCharType="begin"/>
            </w:r>
            <w:r>
              <w:rPr>
                <w:color w:val="0000CC"/>
              </w:rPr>
              <w:instrText xml:space="preserve"> REF _Ref75220747 \r \h </w:instrText>
            </w:r>
            <w:r>
              <w:rPr>
                <w:color w:val="0000CC"/>
              </w:rPr>
            </w:r>
            <w:r>
              <w:rPr>
                <w:color w:val="0000CC"/>
              </w:rPr>
              <w:fldChar w:fldCharType="separate"/>
            </w:r>
            <w:r>
              <w:rPr>
                <w:color w:val="0000CC"/>
              </w:rPr>
              <w:t>Q.14)</w:t>
            </w:r>
            <w:r>
              <w:rPr>
                <w:color w:val="0000CC"/>
              </w:rPr>
              <w:fldChar w:fldCharType="end"/>
            </w:r>
            <w:r>
              <w:rPr>
                <w:color w:val="0000CC"/>
              </w:rPr>
              <w:t>.  Irrespective of security issue, which key (the one used to derive the previous Resume MAC-I or the one used during the previous data transfer) is used to derive the Resume MAC-I for the 2</w:t>
            </w:r>
            <w:r>
              <w:rPr>
                <w:color w:val="0000CC"/>
                <w:vertAlign w:val="superscript"/>
              </w:rPr>
              <w:t>nd</w:t>
            </w:r>
            <w:r>
              <w:rPr>
                <w:color w:val="0000CC"/>
              </w:rPr>
              <w:t xml:space="preserve"> </w:t>
            </w:r>
            <w:r>
              <w:rPr>
                <w:i/>
                <w:iCs/>
                <w:color w:val="0000CC"/>
              </w:rPr>
              <w:t xml:space="preserve">RRCResumeRequest </w:t>
            </w:r>
            <w:r>
              <w:rPr>
                <w:color w:val="0000CC"/>
              </w:rPr>
              <w:t xml:space="preserve">msg needs to be discussed from RAN2 protocol point of view as there is no </w:t>
            </w:r>
            <w:r>
              <w:rPr>
                <w:i/>
                <w:iCs/>
                <w:color w:val="0000CC"/>
              </w:rPr>
              <w:t>RRCRelease</w:t>
            </w:r>
            <w:r>
              <w:rPr>
                <w:color w:val="0000CC"/>
              </w:rPr>
              <w:t xml:space="preserve"> message for CCCH option. </w:t>
            </w:r>
          </w:p>
          <w:p w14:paraId="15B4B289" w14:textId="77777777" w:rsidR="00EA567C" w:rsidRDefault="00EA567C">
            <w:pPr>
              <w:spacing w:after="0"/>
              <w:rPr>
                <w:color w:val="0000CC"/>
              </w:rPr>
            </w:pPr>
          </w:p>
          <w:p w14:paraId="15B4B28A" w14:textId="77777777" w:rsidR="00EA567C" w:rsidRDefault="00786B2D">
            <w:pPr>
              <w:spacing w:after="0"/>
              <w:rPr>
                <w:color w:val="0000CC"/>
              </w:rPr>
            </w:pPr>
            <w:r>
              <w:rPr>
                <w:color w:val="0000CC"/>
              </w:rPr>
              <w:t xml:space="preserve">For DP#6, the understanding is that more than one of the options may be supported in related to how </w:t>
            </w:r>
            <w:r>
              <w:rPr>
                <w:i/>
                <w:iCs/>
                <w:color w:val="0000CC"/>
              </w:rPr>
              <w:t>resumeMAC-I</w:t>
            </w:r>
            <w:r>
              <w:rPr>
                <w:color w:val="0000CC"/>
              </w:rPr>
              <w:t xml:space="preserve"> is generated for this 2</w:t>
            </w:r>
            <w:r>
              <w:rPr>
                <w:color w:val="0000CC"/>
                <w:vertAlign w:val="superscript"/>
              </w:rPr>
              <w:t>nd</w:t>
            </w:r>
            <w:r>
              <w:rPr>
                <w:color w:val="0000CC"/>
              </w:rPr>
              <w:t xml:space="preserve"> RRCResumeRequest. </w:t>
            </w:r>
          </w:p>
          <w:p w14:paraId="15B4B28B" w14:textId="77777777" w:rsidR="00EA567C" w:rsidRDefault="00EA567C">
            <w:pPr>
              <w:spacing w:after="0"/>
              <w:rPr>
                <w:color w:val="0000CC"/>
              </w:rPr>
            </w:pPr>
          </w:p>
          <w:p w14:paraId="15B4B28C" w14:textId="77777777" w:rsidR="00EA567C" w:rsidRDefault="00786B2D">
            <w:pPr>
              <w:spacing w:after="0"/>
              <w:rPr>
                <w:color w:val="0000CC"/>
              </w:rPr>
            </w:pPr>
            <w:r>
              <w:rPr>
                <w:color w:val="0000CC"/>
              </w:rPr>
              <w:t>For opt.6a), the TDoc reference will be removed. It was assumed as the explained procedure in [12] does not explain any change for this which follows legacy resume operation.</w:t>
            </w:r>
          </w:p>
          <w:p w14:paraId="15B4B28D" w14:textId="77777777" w:rsidR="00EA567C" w:rsidRDefault="00EA567C">
            <w:pPr>
              <w:spacing w:after="0"/>
              <w:rPr>
                <w:color w:val="0000CC"/>
              </w:rPr>
            </w:pPr>
          </w:p>
          <w:p w14:paraId="15B4B28E" w14:textId="77777777" w:rsidR="00EA567C" w:rsidRDefault="00786B2D">
            <w:pPr>
              <w:spacing w:after="0"/>
              <w:rPr>
                <w:color w:val="0000CC"/>
              </w:rPr>
            </w:pPr>
            <w:r>
              <w:rPr>
                <w:color w:val="0000CC"/>
              </w:rPr>
              <w:t xml:space="preserve">For opt.6b), this is a change of legacy resume as horizontal key </w:t>
            </w:r>
            <w:r>
              <w:rPr>
                <w:color w:val="0000CC"/>
              </w:rPr>
              <w:lastRenderedPageBreak/>
              <w:t>derivation of the NCC is not done for this kind of scenarios.</w:t>
            </w:r>
          </w:p>
          <w:p w14:paraId="15B4B28F" w14:textId="77777777" w:rsidR="00EA567C" w:rsidRDefault="00EA567C">
            <w:pPr>
              <w:spacing w:after="0"/>
              <w:rPr>
                <w:color w:val="0000CC"/>
              </w:rPr>
            </w:pPr>
          </w:p>
          <w:p w14:paraId="15B4B290" w14:textId="77777777" w:rsidR="00EA567C" w:rsidRDefault="00786B2D">
            <w:pPr>
              <w:spacing w:after="0"/>
              <w:rPr>
                <w:color w:val="0000CC"/>
              </w:rPr>
            </w:pPr>
            <w:r>
              <w:rPr>
                <w:color w:val="0000CC"/>
              </w:rPr>
              <w:t>To be aligned with approach taken in other DP, the aim was to add all options discussed in R2#114e TDocs for companies to provide their preference on those or other new options (if applicable).</w:t>
            </w:r>
          </w:p>
          <w:p w14:paraId="15B4B291" w14:textId="77777777" w:rsidR="00EA567C" w:rsidRDefault="00EA567C">
            <w:pPr>
              <w:spacing w:after="0"/>
              <w:rPr>
                <w:color w:val="0000CC"/>
              </w:rPr>
            </w:pPr>
          </w:p>
          <w:p w14:paraId="15B4B292" w14:textId="77777777" w:rsidR="00EA567C" w:rsidRDefault="00786B2D">
            <w:pPr>
              <w:spacing w:after="0"/>
              <w:rPr>
                <w:color w:val="0000CC"/>
              </w:rPr>
            </w:pPr>
            <w:r>
              <w:rPr>
                <w:color w:val="0000CC"/>
              </w:rPr>
              <w:t>Description related to DP#7 in section 3.2.6 is updated accordingly.</w:t>
            </w:r>
          </w:p>
        </w:tc>
      </w:tr>
      <w:tr w:rsidR="00EA567C" w14:paraId="15B4B29F" w14:textId="77777777">
        <w:tc>
          <w:tcPr>
            <w:tcW w:w="639" w:type="pct"/>
          </w:tcPr>
          <w:p w14:paraId="15B4B294" w14:textId="77777777" w:rsidR="00EA567C" w:rsidRDefault="00786B2D">
            <w:pPr>
              <w:spacing w:after="0"/>
              <w:rPr>
                <w:color w:val="A6A6A6" w:themeColor="background1" w:themeShade="A6"/>
              </w:rPr>
            </w:pPr>
            <w:r>
              <w:rPr>
                <w:color w:val="A6A6A6" w:themeColor="background1" w:themeShade="A6"/>
              </w:rPr>
              <w:lastRenderedPageBreak/>
              <w:t>NEC</w:t>
            </w:r>
          </w:p>
        </w:tc>
        <w:tc>
          <w:tcPr>
            <w:tcW w:w="2727" w:type="pct"/>
          </w:tcPr>
          <w:p w14:paraId="15B4B295" w14:textId="77777777" w:rsidR="00EA567C" w:rsidRDefault="00786B2D">
            <w:pPr>
              <w:spacing w:after="0"/>
              <w:rPr>
                <w:color w:val="A6A6A6" w:themeColor="background1" w:themeShade="A6"/>
              </w:rPr>
            </w:pPr>
            <w:r>
              <w:rPr>
                <w:color w:val="A6A6A6" w:themeColor="background1" w:themeShade="A6"/>
              </w:rPr>
              <w:t>For Discussion point 6), NCC is used to derive the KgNB key for the transmission at the new cell, not to generate resumeMAC-I. So we wonder if option 6.a), 6.b) and 6.c) is actually intended to be used to solve the issue in Discussion point 5)? In other words, to solve the key stream reuse issue by using different security keys.</w:t>
            </w:r>
          </w:p>
          <w:p w14:paraId="15B4B296" w14:textId="77777777" w:rsidR="00EA567C" w:rsidRDefault="00EA567C">
            <w:pPr>
              <w:spacing w:after="0"/>
              <w:rPr>
                <w:color w:val="A6A6A6" w:themeColor="background1" w:themeShade="A6"/>
              </w:rPr>
            </w:pPr>
          </w:p>
          <w:p w14:paraId="15B4B297" w14:textId="77777777" w:rsidR="00EA567C" w:rsidRDefault="00786B2D">
            <w:pPr>
              <w:spacing w:after="0"/>
              <w:rPr>
                <w:color w:val="A6A6A6" w:themeColor="background1" w:themeShade="A6"/>
              </w:rPr>
            </w:pPr>
            <w:r>
              <w:rPr>
                <w:color w:val="A6A6A6" w:themeColor="background1" w:themeShade="A6"/>
              </w:rPr>
              <w:t>For Discussion point 7), we agree with Huawei that the legacy behavior is that after sending RRCRelease or receiving RRCResumeComplete, the new gNB indicates the last serving gNB to release UE AS context. So when CCCH is sent to the new gNB, the last serving gNB still have the UE AS context. Therefore there is no issue on UE AS context fetch if we following the existing behavior for CCCH solution.</w:t>
            </w:r>
          </w:p>
          <w:p w14:paraId="15B4B298" w14:textId="77777777" w:rsidR="00EA567C" w:rsidRDefault="00EA567C">
            <w:pPr>
              <w:spacing w:after="0"/>
              <w:rPr>
                <w:color w:val="A6A6A6" w:themeColor="background1" w:themeShade="A6"/>
              </w:rPr>
            </w:pPr>
          </w:p>
          <w:p w14:paraId="15B4B299" w14:textId="77777777" w:rsidR="00EA567C" w:rsidRDefault="00786B2D">
            <w:pPr>
              <w:spacing w:after="0"/>
              <w:rPr>
                <w:color w:val="A6A6A6" w:themeColor="background1" w:themeShade="A6"/>
              </w:rPr>
            </w:pPr>
            <w:r>
              <w:rPr>
                <w:color w:val="A6A6A6" w:themeColor="background1" w:themeShade="A6"/>
              </w:rPr>
              <w:t>For Discussion point 8), this should be up to SA3 decision.</w:t>
            </w:r>
          </w:p>
        </w:tc>
        <w:tc>
          <w:tcPr>
            <w:tcW w:w="1634" w:type="pct"/>
          </w:tcPr>
          <w:p w14:paraId="15B4B29A" w14:textId="77777777" w:rsidR="00EA567C" w:rsidRDefault="00786B2D">
            <w:pPr>
              <w:spacing w:after="0"/>
              <w:rPr>
                <w:color w:val="0000CC"/>
              </w:rPr>
            </w:pPr>
            <w:r>
              <w:rPr>
                <w:color w:val="0000CC"/>
              </w:rPr>
              <w:t>Rapporteur suggests that companies’ views on expected behaviors are welcome during 2</w:t>
            </w:r>
            <w:r>
              <w:rPr>
                <w:color w:val="0000CC"/>
                <w:vertAlign w:val="superscript"/>
              </w:rPr>
              <w:t>nd</w:t>
            </w:r>
            <w:r>
              <w:rPr>
                <w:color w:val="0000CC"/>
              </w:rPr>
              <w:t xml:space="preserve"> phase understanding that 1</w:t>
            </w:r>
            <w:r>
              <w:rPr>
                <w:color w:val="0000CC"/>
                <w:vertAlign w:val="superscript"/>
              </w:rPr>
              <w:t>st</w:t>
            </w:r>
            <w:r>
              <w:rPr>
                <w:color w:val="0000CC"/>
              </w:rPr>
              <w:t xml:space="preserve"> phase aimed to capture inputs on new open points to be discussed.</w:t>
            </w:r>
          </w:p>
          <w:p w14:paraId="15B4B29B" w14:textId="77777777" w:rsidR="00EA567C" w:rsidRDefault="00EA567C">
            <w:pPr>
              <w:spacing w:after="0"/>
              <w:rPr>
                <w:color w:val="0000CC"/>
              </w:rPr>
            </w:pPr>
          </w:p>
          <w:p w14:paraId="15B4B29C" w14:textId="77777777" w:rsidR="00EA567C" w:rsidRDefault="00EA567C">
            <w:pPr>
              <w:spacing w:after="0"/>
              <w:rPr>
                <w:color w:val="0000CC"/>
              </w:rPr>
            </w:pPr>
          </w:p>
          <w:p w14:paraId="15B4B29D" w14:textId="77777777" w:rsidR="00EA567C" w:rsidRDefault="00EA567C">
            <w:pPr>
              <w:spacing w:after="0"/>
              <w:rPr>
                <w:color w:val="0000CC"/>
              </w:rPr>
            </w:pPr>
          </w:p>
          <w:p w14:paraId="15B4B29E" w14:textId="77777777" w:rsidR="00EA567C" w:rsidRDefault="00EA567C">
            <w:pPr>
              <w:spacing w:after="0"/>
              <w:rPr>
                <w:color w:val="0000CC"/>
              </w:rPr>
            </w:pPr>
          </w:p>
        </w:tc>
      </w:tr>
    </w:tbl>
    <w:p w14:paraId="15B4B2A0" w14:textId="77777777" w:rsidR="00EA567C" w:rsidRDefault="00EA567C">
      <w:pPr>
        <w:rPr>
          <w:rFonts w:ascii="Times New Roman" w:hAnsi="Times New Roman" w:cs="Times New Roman"/>
          <w:sz w:val="20"/>
          <w:szCs w:val="20"/>
        </w:rPr>
      </w:pPr>
    </w:p>
    <w:p w14:paraId="15B4B2A1" w14:textId="77777777" w:rsidR="00EA567C" w:rsidRDefault="00786B2D">
      <w:pPr>
        <w:pStyle w:val="4"/>
      </w:pPr>
      <w:r>
        <w:t xml:space="preserve">New points to section </w:t>
      </w:r>
      <w:r>
        <w:fldChar w:fldCharType="begin"/>
      </w:r>
      <w:r>
        <w:instrText xml:space="preserve"> REF _Ref74125851 \r \h </w:instrText>
      </w:r>
      <w:r>
        <w:fldChar w:fldCharType="separate"/>
      </w:r>
      <w:r>
        <w:t>3.3</w:t>
      </w:r>
      <w:r>
        <w:fldChar w:fldCharType="end"/>
      </w:r>
      <w:r>
        <w:t xml:space="preserve"> (identified during 1</w:t>
      </w:r>
      <w:r>
        <w:rPr>
          <w:vertAlign w:val="superscript"/>
        </w:rPr>
        <w:t>st</w:t>
      </w:r>
      <w:r>
        <w:t xml:space="preserve"> phase)</w:t>
      </w:r>
    </w:p>
    <w:p w14:paraId="15B4B2A2" w14:textId="77777777" w:rsidR="00EA567C" w:rsidRDefault="00786B2D">
      <w:pPr>
        <w:rPr>
          <w:rFonts w:ascii="Times New Roman" w:hAnsi="Times New Roman" w:cs="Times New Roman"/>
          <w:sz w:val="20"/>
          <w:szCs w:val="20"/>
        </w:rPr>
      </w:pPr>
      <w:r>
        <w:rPr>
          <w:rFonts w:ascii="Times New Roman" w:hAnsi="Times New Roman" w:cs="Times New Roman"/>
          <w:sz w:val="20"/>
          <w:szCs w:val="20"/>
        </w:rPr>
        <w:t>Please indicate if there are any other topics/questions that require to be addressed as part of this section 3.3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_Ref74125851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DCCH-based approach</w:t>
      </w:r>
      <w:r>
        <w:rPr>
          <w:rFonts w:ascii="Times New Roman" w:hAnsi="Times New Roman" w:cs="Times New Roman"/>
          <w:sz w:val="20"/>
          <w:szCs w:val="20"/>
        </w:rPr>
        <w:fldChar w:fldCharType="end"/>
      </w:r>
      <w:r>
        <w:rPr>
          <w:rFonts w:ascii="Times New Roman" w:hAnsi="Times New Roman" w:cs="Times New Roman"/>
          <w:sz w:val="20"/>
          <w:szCs w:val="20"/>
        </w:rPr>
        <w:t>” for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_Ref74146724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Non-SDT data handling during ongoing SDT session</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ab"/>
        <w:tblW w:w="5000" w:type="pct"/>
        <w:tblLook w:val="04A0" w:firstRow="1" w:lastRow="0" w:firstColumn="1" w:lastColumn="0" w:noHBand="0" w:noVBand="1"/>
      </w:tblPr>
      <w:tblGrid>
        <w:gridCol w:w="1195"/>
        <w:gridCol w:w="5099"/>
        <w:gridCol w:w="3056"/>
      </w:tblGrid>
      <w:tr w:rsidR="00EA567C" w14:paraId="15B4B2A6" w14:textId="77777777">
        <w:tc>
          <w:tcPr>
            <w:tcW w:w="639" w:type="pct"/>
            <w:shd w:val="clear" w:color="auto" w:fill="BFBFBF" w:themeFill="background1" w:themeFillShade="BF"/>
          </w:tcPr>
          <w:p w14:paraId="15B4B2A3" w14:textId="77777777" w:rsidR="00EA567C" w:rsidRDefault="00786B2D">
            <w:pPr>
              <w:spacing w:after="0"/>
              <w:jc w:val="center"/>
              <w:rPr>
                <w:b/>
                <w:bCs/>
              </w:rPr>
            </w:pPr>
            <w:r>
              <w:rPr>
                <w:b/>
                <w:bCs/>
              </w:rPr>
              <w:t>Company’s name</w:t>
            </w:r>
          </w:p>
        </w:tc>
        <w:tc>
          <w:tcPr>
            <w:tcW w:w="2727" w:type="pct"/>
            <w:shd w:val="clear" w:color="auto" w:fill="BFBFBF" w:themeFill="background1" w:themeFillShade="BF"/>
          </w:tcPr>
          <w:p w14:paraId="15B4B2A4" w14:textId="77777777" w:rsidR="00EA567C" w:rsidRDefault="00786B2D">
            <w:pPr>
              <w:spacing w:after="0"/>
              <w:jc w:val="center"/>
              <w:rPr>
                <w:b/>
                <w:bCs/>
              </w:rPr>
            </w:pPr>
            <w:r>
              <w:rPr>
                <w:b/>
                <w:bCs/>
              </w:rPr>
              <w:t>Companies’ views</w:t>
            </w:r>
          </w:p>
        </w:tc>
        <w:tc>
          <w:tcPr>
            <w:tcW w:w="1634" w:type="pct"/>
            <w:shd w:val="clear" w:color="auto" w:fill="BFBFBF" w:themeFill="background1" w:themeFillShade="BF"/>
          </w:tcPr>
          <w:p w14:paraId="15B4B2A5" w14:textId="77777777" w:rsidR="00EA567C" w:rsidRDefault="00786B2D">
            <w:pPr>
              <w:spacing w:after="0"/>
              <w:jc w:val="center"/>
              <w:rPr>
                <w:b/>
                <w:bCs/>
                <w:color w:val="0000CC"/>
              </w:rPr>
            </w:pPr>
            <w:r>
              <w:rPr>
                <w:b/>
                <w:bCs/>
                <w:color w:val="0000CC"/>
              </w:rPr>
              <w:t>Rapporteur’s response</w:t>
            </w:r>
          </w:p>
        </w:tc>
      </w:tr>
      <w:tr w:rsidR="00EA567C" w14:paraId="15B4B2AA" w14:textId="77777777">
        <w:tc>
          <w:tcPr>
            <w:tcW w:w="639" w:type="pct"/>
          </w:tcPr>
          <w:p w14:paraId="15B4B2A7" w14:textId="77777777" w:rsidR="00EA567C" w:rsidRDefault="00786B2D">
            <w:pPr>
              <w:spacing w:after="0"/>
              <w:rPr>
                <w:color w:val="A6A6A6" w:themeColor="background1" w:themeShade="A6"/>
              </w:rPr>
            </w:pPr>
            <w:r>
              <w:rPr>
                <w:color w:val="A6A6A6" w:themeColor="background1" w:themeShade="A6"/>
              </w:rPr>
              <w:t>ZTE</w:t>
            </w:r>
          </w:p>
        </w:tc>
        <w:tc>
          <w:tcPr>
            <w:tcW w:w="2727" w:type="pct"/>
          </w:tcPr>
          <w:p w14:paraId="15B4B2A8" w14:textId="77777777" w:rsidR="00EA567C" w:rsidRDefault="00786B2D">
            <w:pPr>
              <w:spacing w:after="0"/>
              <w:rPr>
                <w:color w:val="A6A6A6" w:themeColor="background1" w:themeShade="A6"/>
              </w:rPr>
            </w:pPr>
            <w:r>
              <w:rPr>
                <w:color w:val="A6A6A6" w:themeColor="background1" w:themeShade="A6"/>
              </w:rPr>
              <w:t xml:space="preserve">One issue that was raised in the past is how to deal with the case where the DCCH message is generated, but the UE is sent back to INACTIVE (i.e. the network releases the SDT session before the UE sends the DCCH message). Our understanding is that this will simply trigger a new resume (i.e. no changes needed), but in any case, should we add one question for this too? </w:t>
            </w:r>
          </w:p>
        </w:tc>
        <w:tc>
          <w:tcPr>
            <w:tcW w:w="1634" w:type="pct"/>
          </w:tcPr>
          <w:p w14:paraId="15B4B2A9" w14:textId="77777777" w:rsidR="00EA567C" w:rsidRDefault="00786B2D">
            <w:pPr>
              <w:spacing w:after="0"/>
              <w:rPr>
                <w:color w:val="0000CC"/>
              </w:rPr>
            </w:pPr>
            <w:r>
              <w:rPr>
                <w:color w:val="0000CC"/>
              </w:rPr>
              <w:t xml:space="preserve">Proposed new topic is added in a new question </w:t>
            </w:r>
            <w:r>
              <w:rPr>
                <w:color w:val="0000CC"/>
              </w:rPr>
              <w:fldChar w:fldCharType="begin"/>
            </w:r>
            <w:r>
              <w:rPr>
                <w:color w:val="0000CC"/>
              </w:rPr>
              <w:instrText xml:space="preserve"> REF _Ref75009485 \r \h </w:instrText>
            </w:r>
            <w:r>
              <w:rPr>
                <w:color w:val="0000CC"/>
              </w:rPr>
            </w:r>
            <w:r>
              <w:rPr>
                <w:color w:val="0000CC"/>
              </w:rPr>
              <w:fldChar w:fldCharType="separate"/>
            </w:r>
            <w:r>
              <w:rPr>
                <w:color w:val="0000CC"/>
              </w:rPr>
              <w:t>Q.22)</w:t>
            </w:r>
            <w:r>
              <w:rPr>
                <w:color w:val="0000CC"/>
              </w:rPr>
              <w:fldChar w:fldCharType="end"/>
            </w:r>
            <w:r>
              <w:rPr>
                <w:color w:val="0000CC"/>
              </w:rPr>
              <w:t xml:space="preserve"> in a new section </w:t>
            </w:r>
            <w:r>
              <w:rPr>
                <w:color w:val="0000CC"/>
              </w:rPr>
              <w:fldChar w:fldCharType="begin"/>
            </w:r>
            <w:r>
              <w:rPr>
                <w:color w:val="0000CC"/>
              </w:rPr>
              <w:instrText xml:space="preserve"> REF _Ref75007984 \r \h </w:instrText>
            </w:r>
            <w:r>
              <w:rPr>
                <w:color w:val="0000CC"/>
              </w:rPr>
            </w:r>
            <w:r>
              <w:rPr>
                <w:color w:val="0000CC"/>
              </w:rPr>
              <w:fldChar w:fldCharType="separate"/>
            </w:r>
            <w:r>
              <w:rPr>
                <w:color w:val="0000CC"/>
              </w:rPr>
              <w:t>3.3.3</w:t>
            </w:r>
            <w:r>
              <w:rPr>
                <w:color w:val="0000CC"/>
              </w:rPr>
              <w:fldChar w:fldCharType="end"/>
            </w:r>
          </w:p>
        </w:tc>
      </w:tr>
      <w:tr w:rsidR="00EA567C" w14:paraId="15B4B2B8" w14:textId="77777777">
        <w:tc>
          <w:tcPr>
            <w:tcW w:w="639" w:type="pct"/>
          </w:tcPr>
          <w:p w14:paraId="15B4B2AB" w14:textId="77777777" w:rsidR="00EA567C" w:rsidRDefault="00786B2D">
            <w:pPr>
              <w:spacing w:after="0"/>
              <w:rPr>
                <w:color w:val="A6A6A6" w:themeColor="background1" w:themeShade="A6"/>
              </w:rPr>
            </w:pPr>
            <w:r>
              <w:rPr>
                <w:color w:val="A6A6A6" w:themeColor="background1" w:themeShade="A6"/>
              </w:rPr>
              <w:t>Huawei, HiSilicon</w:t>
            </w:r>
          </w:p>
        </w:tc>
        <w:tc>
          <w:tcPr>
            <w:tcW w:w="2727" w:type="pct"/>
          </w:tcPr>
          <w:p w14:paraId="15B4B2AC" w14:textId="77777777" w:rsidR="00EA567C" w:rsidRDefault="00786B2D">
            <w:pPr>
              <w:spacing w:after="0"/>
              <w:rPr>
                <w:color w:val="A6A6A6" w:themeColor="background1" w:themeShade="A6"/>
              </w:rPr>
            </w:pPr>
            <w:r>
              <w:rPr>
                <w:color w:val="A6A6A6" w:themeColor="background1" w:themeShade="A6"/>
              </w:rPr>
              <w:t>We need to also discuss the following for the DCCH solution:</w:t>
            </w:r>
          </w:p>
          <w:p w14:paraId="15B4B2AD" w14:textId="77777777" w:rsidR="00EA567C" w:rsidRDefault="00786B2D">
            <w:pPr>
              <w:spacing w:after="0"/>
              <w:rPr>
                <w:color w:val="A6A6A6" w:themeColor="background1" w:themeShade="A6"/>
              </w:rPr>
            </w:pPr>
            <w:r>
              <w:rPr>
                <w:color w:val="A6A6A6" w:themeColor="background1" w:themeShade="A6"/>
              </w:rPr>
              <w:t>1. What are the contents of DCCH message, e.g. does the resume cause need to be included etc.</w:t>
            </w:r>
          </w:p>
          <w:p w14:paraId="15B4B2AE" w14:textId="77777777" w:rsidR="00EA567C" w:rsidRDefault="00786B2D">
            <w:pPr>
              <w:spacing w:after="0"/>
              <w:rPr>
                <w:color w:val="A6A6A6" w:themeColor="background1" w:themeShade="A6"/>
              </w:rPr>
            </w:pPr>
            <w:r>
              <w:rPr>
                <w:color w:val="A6A6A6" w:themeColor="background1" w:themeShade="A6"/>
              </w:rPr>
              <w:lastRenderedPageBreak/>
              <w:t>2. DCCH message delivery failure handling, i.e. what happens if the UE does not receive a confirmation of reception of the message.</w:t>
            </w:r>
          </w:p>
          <w:p w14:paraId="15B4B2AF" w14:textId="77777777" w:rsidR="00EA567C" w:rsidRDefault="00786B2D">
            <w:pPr>
              <w:spacing w:after="0"/>
              <w:rPr>
                <w:color w:val="A6A6A6" w:themeColor="background1" w:themeShade="A6"/>
              </w:rPr>
            </w:pPr>
            <w:r>
              <w:rPr>
                <w:color w:val="A6A6A6" w:themeColor="background1" w:themeShade="A6"/>
              </w:rPr>
              <w:t>3. What happens if there is no UL grant to send the DCCH message for non-SDT data indication.</w:t>
            </w:r>
          </w:p>
          <w:p w14:paraId="15B4B2B0" w14:textId="77777777" w:rsidR="00EA567C" w:rsidRDefault="00786B2D">
            <w:pPr>
              <w:spacing w:after="0"/>
              <w:rPr>
                <w:color w:val="A6A6A6" w:themeColor="background1" w:themeShade="A6"/>
              </w:rPr>
            </w:pPr>
            <w:r>
              <w:rPr>
                <w:color w:val="A6A6A6" w:themeColor="background1" w:themeShade="A6"/>
              </w:rPr>
              <w:t>4. What the behavior of the UE is if the NW sends an RRRCRelease message before the UE sends the DCCH message.</w:t>
            </w:r>
          </w:p>
        </w:tc>
        <w:tc>
          <w:tcPr>
            <w:tcW w:w="1634" w:type="pct"/>
          </w:tcPr>
          <w:p w14:paraId="15B4B2B1" w14:textId="77777777" w:rsidR="00EA567C" w:rsidRDefault="00786B2D">
            <w:pPr>
              <w:spacing w:after="0"/>
              <w:rPr>
                <w:color w:val="0000CC"/>
              </w:rPr>
            </w:pPr>
            <w:r>
              <w:rPr>
                <w:color w:val="0000CC"/>
              </w:rPr>
              <w:lastRenderedPageBreak/>
              <w:t>Proposed topic 1 is covered as part of DP#11, however a new option is added for the resume cause.</w:t>
            </w:r>
          </w:p>
          <w:p w14:paraId="15B4B2B2" w14:textId="77777777" w:rsidR="00EA567C" w:rsidRDefault="00EA567C">
            <w:pPr>
              <w:spacing w:after="0"/>
              <w:rPr>
                <w:color w:val="0000CC"/>
              </w:rPr>
            </w:pPr>
          </w:p>
          <w:p w14:paraId="15B4B2B3" w14:textId="77777777" w:rsidR="00EA567C" w:rsidRDefault="00786B2D">
            <w:pPr>
              <w:spacing w:after="0"/>
              <w:rPr>
                <w:color w:val="0000CC"/>
              </w:rPr>
            </w:pPr>
            <w:r>
              <w:rPr>
                <w:color w:val="0000CC"/>
              </w:rPr>
              <w:lastRenderedPageBreak/>
              <w:t xml:space="preserve">Added the proposed topic 2 in a new question </w:t>
            </w:r>
            <w:r>
              <w:rPr>
                <w:color w:val="0000CC"/>
              </w:rPr>
              <w:fldChar w:fldCharType="begin"/>
            </w:r>
            <w:r>
              <w:rPr>
                <w:color w:val="0000CC"/>
              </w:rPr>
              <w:instrText xml:space="preserve"> REF _Ref75224054 \r \h </w:instrText>
            </w:r>
            <w:r>
              <w:rPr>
                <w:color w:val="0000CC"/>
              </w:rPr>
            </w:r>
            <w:r>
              <w:rPr>
                <w:color w:val="0000CC"/>
              </w:rPr>
              <w:fldChar w:fldCharType="separate"/>
            </w:r>
            <w:r>
              <w:rPr>
                <w:color w:val="0000CC"/>
              </w:rPr>
              <w:t>Q.21)</w:t>
            </w:r>
            <w:r>
              <w:rPr>
                <w:color w:val="0000CC"/>
              </w:rPr>
              <w:fldChar w:fldCharType="end"/>
            </w:r>
            <w:r>
              <w:rPr>
                <w:color w:val="0000CC"/>
              </w:rPr>
              <w:t xml:space="preserve"> in the new section </w:t>
            </w:r>
            <w:r>
              <w:rPr>
                <w:color w:val="0000CC"/>
              </w:rPr>
              <w:fldChar w:fldCharType="begin"/>
            </w:r>
            <w:r>
              <w:rPr>
                <w:color w:val="0000CC"/>
              </w:rPr>
              <w:instrText xml:space="preserve"> REF _Ref75224202 \r \h </w:instrText>
            </w:r>
            <w:r>
              <w:rPr>
                <w:color w:val="0000CC"/>
              </w:rPr>
            </w:r>
            <w:r>
              <w:rPr>
                <w:color w:val="0000CC"/>
              </w:rPr>
              <w:fldChar w:fldCharType="separate"/>
            </w:r>
            <w:r>
              <w:rPr>
                <w:color w:val="0000CC"/>
              </w:rPr>
              <w:t>3.3.2.2</w:t>
            </w:r>
            <w:r>
              <w:rPr>
                <w:color w:val="0000CC"/>
              </w:rPr>
              <w:fldChar w:fldCharType="end"/>
            </w:r>
            <w:r>
              <w:rPr>
                <w:color w:val="0000CC"/>
              </w:rPr>
              <w:t>.</w:t>
            </w:r>
          </w:p>
          <w:p w14:paraId="15B4B2B4" w14:textId="77777777" w:rsidR="00EA567C" w:rsidRDefault="00EA567C">
            <w:pPr>
              <w:spacing w:after="0"/>
              <w:rPr>
                <w:color w:val="0000CC"/>
              </w:rPr>
            </w:pPr>
          </w:p>
          <w:p w14:paraId="15B4B2B5" w14:textId="77777777" w:rsidR="00EA567C" w:rsidRDefault="00786B2D">
            <w:pPr>
              <w:spacing w:after="0"/>
              <w:rPr>
                <w:color w:val="0000CC"/>
              </w:rPr>
            </w:pPr>
            <w:r>
              <w:rPr>
                <w:color w:val="0000CC"/>
              </w:rPr>
              <w:t xml:space="preserve">Added the proposed topic 3 in a new question </w:t>
            </w:r>
            <w:r>
              <w:rPr>
                <w:color w:val="0000CC"/>
              </w:rPr>
              <w:fldChar w:fldCharType="begin"/>
            </w:r>
            <w:r>
              <w:rPr>
                <w:color w:val="0000CC"/>
              </w:rPr>
              <w:instrText xml:space="preserve"> REF _Ref75008457 \r \h </w:instrText>
            </w:r>
            <w:r>
              <w:rPr>
                <w:color w:val="0000CC"/>
              </w:rPr>
            </w:r>
            <w:r>
              <w:rPr>
                <w:color w:val="0000CC"/>
              </w:rPr>
              <w:fldChar w:fldCharType="separate"/>
            </w:r>
            <w:r>
              <w:rPr>
                <w:color w:val="0000CC"/>
              </w:rPr>
              <w:t>Q.23)</w:t>
            </w:r>
            <w:r>
              <w:rPr>
                <w:color w:val="0000CC"/>
              </w:rPr>
              <w:fldChar w:fldCharType="end"/>
            </w:r>
            <w:r>
              <w:rPr>
                <w:color w:val="0000CC"/>
              </w:rPr>
              <w:t xml:space="preserve"> in a new section </w:t>
            </w:r>
            <w:r>
              <w:rPr>
                <w:color w:val="0000CC"/>
              </w:rPr>
              <w:fldChar w:fldCharType="begin"/>
            </w:r>
            <w:r>
              <w:rPr>
                <w:color w:val="0000CC"/>
              </w:rPr>
              <w:instrText xml:space="preserve"> REF _Ref75009329 \r \h </w:instrText>
            </w:r>
            <w:r>
              <w:rPr>
                <w:color w:val="0000CC"/>
              </w:rPr>
            </w:r>
            <w:r>
              <w:rPr>
                <w:color w:val="0000CC"/>
              </w:rPr>
              <w:fldChar w:fldCharType="separate"/>
            </w:r>
            <w:r>
              <w:rPr>
                <w:color w:val="0000CC"/>
              </w:rPr>
              <w:t>3.3.4</w:t>
            </w:r>
            <w:r>
              <w:rPr>
                <w:color w:val="0000CC"/>
              </w:rPr>
              <w:fldChar w:fldCharType="end"/>
            </w:r>
            <w:r>
              <w:rPr>
                <w:color w:val="0000CC"/>
              </w:rPr>
              <w:t>.</w:t>
            </w:r>
          </w:p>
          <w:p w14:paraId="15B4B2B6" w14:textId="77777777" w:rsidR="00EA567C" w:rsidRDefault="00EA567C">
            <w:pPr>
              <w:spacing w:after="0"/>
              <w:rPr>
                <w:color w:val="0000CC"/>
              </w:rPr>
            </w:pPr>
          </w:p>
          <w:p w14:paraId="15B4B2B7" w14:textId="77777777" w:rsidR="00EA567C" w:rsidRDefault="00786B2D">
            <w:pPr>
              <w:spacing w:after="0"/>
              <w:rPr>
                <w:color w:val="0000CC"/>
              </w:rPr>
            </w:pPr>
            <w:r>
              <w:rPr>
                <w:color w:val="0000CC"/>
              </w:rPr>
              <w:t>Proposed topic 4 is same as the one provided by ZTE, see corresponding response.</w:t>
            </w:r>
          </w:p>
        </w:tc>
      </w:tr>
      <w:tr w:rsidR="00EA567C" w14:paraId="15B4B2BD" w14:textId="77777777">
        <w:tc>
          <w:tcPr>
            <w:tcW w:w="639" w:type="pct"/>
          </w:tcPr>
          <w:p w14:paraId="15B4B2B9" w14:textId="77777777" w:rsidR="00EA567C" w:rsidRDefault="00786B2D">
            <w:pPr>
              <w:spacing w:after="0"/>
              <w:rPr>
                <w:color w:val="A6A6A6" w:themeColor="background1" w:themeShade="A6"/>
              </w:rPr>
            </w:pPr>
            <w:r>
              <w:rPr>
                <w:color w:val="A6A6A6" w:themeColor="background1" w:themeShade="A6"/>
              </w:rPr>
              <w:lastRenderedPageBreak/>
              <w:t>NEC</w:t>
            </w:r>
          </w:p>
        </w:tc>
        <w:tc>
          <w:tcPr>
            <w:tcW w:w="2727" w:type="pct"/>
          </w:tcPr>
          <w:p w14:paraId="15B4B2BA" w14:textId="77777777" w:rsidR="00EA567C" w:rsidRDefault="00786B2D">
            <w:pPr>
              <w:spacing w:after="0"/>
              <w:rPr>
                <w:color w:val="A6A6A6" w:themeColor="background1" w:themeShade="A6"/>
              </w:rPr>
            </w:pPr>
            <w:r>
              <w:rPr>
                <w:color w:val="A6A6A6" w:themeColor="background1" w:themeShade="A6"/>
              </w:rPr>
              <w:t>We agree with the question proposed by Huawei, and we also need to discuss the following additional aspects:</w:t>
            </w:r>
          </w:p>
          <w:p w14:paraId="15B4B2BB" w14:textId="77777777" w:rsidR="00EA567C" w:rsidRDefault="00786B2D">
            <w:pPr>
              <w:spacing w:after="0"/>
              <w:rPr>
                <w:color w:val="A6A6A6" w:themeColor="background1" w:themeShade="A6"/>
              </w:rPr>
            </w:pPr>
            <w:r>
              <w:rPr>
                <w:color w:val="A6A6A6" w:themeColor="background1" w:themeShade="A6"/>
              </w:rPr>
              <w:t>-</w:t>
            </w:r>
            <w:r>
              <w:rPr>
                <w:color w:val="A6A6A6" w:themeColor="background1" w:themeShade="A6"/>
              </w:rPr>
              <w:tab/>
              <w:t>If a timer is needed for the DCCH message, to avoid frequent triggering of the generating of the DCCH message before receiving network response e.g. RRCResume message.</w:t>
            </w:r>
          </w:p>
        </w:tc>
        <w:tc>
          <w:tcPr>
            <w:tcW w:w="1634" w:type="pct"/>
          </w:tcPr>
          <w:p w14:paraId="15B4B2BC" w14:textId="77777777" w:rsidR="00EA567C" w:rsidRDefault="00786B2D">
            <w:pPr>
              <w:spacing w:after="0"/>
              <w:rPr>
                <w:color w:val="0000CC"/>
              </w:rPr>
            </w:pPr>
            <w:r>
              <w:rPr>
                <w:color w:val="0000CC"/>
              </w:rPr>
              <w:t xml:space="preserve">Rapporteur suggests that this view is provided as part of the response to new question </w:t>
            </w:r>
            <w:r>
              <w:rPr>
                <w:color w:val="0000CC"/>
              </w:rPr>
              <w:fldChar w:fldCharType="begin"/>
            </w:r>
            <w:r>
              <w:rPr>
                <w:color w:val="0000CC"/>
              </w:rPr>
              <w:instrText xml:space="preserve"> REF _Ref75224054 \r \h </w:instrText>
            </w:r>
            <w:r>
              <w:rPr>
                <w:color w:val="0000CC"/>
              </w:rPr>
            </w:r>
            <w:r>
              <w:rPr>
                <w:color w:val="0000CC"/>
              </w:rPr>
              <w:fldChar w:fldCharType="separate"/>
            </w:r>
            <w:r>
              <w:rPr>
                <w:color w:val="0000CC"/>
              </w:rPr>
              <w:t>Q.21)</w:t>
            </w:r>
            <w:r>
              <w:rPr>
                <w:color w:val="0000CC"/>
              </w:rPr>
              <w:fldChar w:fldCharType="end"/>
            </w:r>
            <w:r>
              <w:rPr>
                <w:color w:val="0000CC"/>
              </w:rPr>
              <w:t xml:space="preserve"> added in the new section </w:t>
            </w:r>
            <w:r>
              <w:rPr>
                <w:color w:val="0000CC"/>
              </w:rPr>
              <w:fldChar w:fldCharType="begin"/>
            </w:r>
            <w:r>
              <w:rPr>
                <w:color w:val="0000CC"/>
              </w:rPr>
              <w:instrText xml:space="preserve"> REF _Ref75224202 \r \h </w:instrText>
            </w:r>
            <w:r>
              <w:rPr>
                <w:color w:val="0000CC"/>
              </w:rPr>
            </w:r>
            <w:r>
              <w:rPr>
                <w:color w:val="0000CC"/>
              </w:rPr>
              <w:fldChar w:fldCharType="separate"/>
            </w:r>
            <w:r>
              <w:rPr>
                <w:color w:val="0000CC"/>
              </w:rPr>
              <w:t>3.3.2.2</w:t>
            </w:r>
            <w:r>
              <w:rPr>
                <w:color w:val="0000CC"/>
              </w:rPr>
              <w:fldChar w:fldCharType="end"/>
            </w:r>
          </w:p>
        </w:tc>
      </w:tr>
    </w:tbl>
    <w:p w14:paraId="15B4B2BE" w14:textId="77777777" w:rsidR="00EA567C" w:rsidRDefault="00EA567C"/>
    <w:p w14:paraId="15B4B2BF" w14:textId="77777777" w:rsidR="00EA567C" w:rsidRDefault="00786B2D">
      <w:pPr>
        <w:pStyle w:val="4"/>
      </w:pPr>
      <w:r>
        <w:t xml:space="preserve">New points to section </w:t>
      </w:r>
      <w:r>
        <w:fldChar w:fldCharType="begin"/>
      </w:r>
      <w:r>
        <w:instrText xml:space="preserve"> REF _Ref74123323 \r \h </w:instrText>
      </w:r>
      <w:r>
        <w:fldChar w:fldCharType="separate"/>
      </w:r>
      <w:r>
        <w:t>4</w:t>
      </w:r>
      <w:r>
        <w:fldChar w:fldCharType="end"/>
      </w:r>
      <w:r>
        <w:t xml:space="preserve"> (identified during 1</w:t>
      </w:r>
      <w:r>
        <w:rPr>
          <w:vertAlign w:val="superscript"/>
        </w:rPr>
        <w:t>st</w:t>
      </w:r>
      <w:r>
        <w:t xml:space="preserve"> phase)</w:t>
      </w:r>
    </w:p>
    <w:p w14:paraId="15B4B2C0" w14:textId="77777777" w:rsidR="00EA567C" w:rsidRDefault="00786B2D">
      <w:pPr>
        <w:rPr>
          <w:rFonts w:ascii="Times New Roman" w:hAnsi="Times New Roman" w:cs="Times New Roman"/>
          <w:sz w:val="20"/>
          <w:szCs w:val="20"/>
        </w:rPr>
      </w:pPr>
      <w:r>
        <w:rPr>
          <w:rFonts w:ascii="Times New Roman" w:hAnsi="Times New Roman" w:cs="Times New Roman"/>
          <w:sz w:val="20"/>
          <w:szCs w:val="20"/>
        </w:rPr>
        <w:t>Please indicate if there are any other topics/questions that require to be addressed as part of this section 4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_Ref74146897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Failure handling during ongoing SDT session</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ab"/>
        <w:tblW w:w="5000" w:type="pct"/>
        <w:tblLook w:val="04A0" w:firstRow="1" w:lastRow="0" w:firstColumn="1" w:lastColumn="0" w:noHBand="0" w:noVBand="1"/>
      </w:tblPr>
      <w:tblGrid>
        <w:gridCol w:w="1195"/>
        <w:gridCol w:w="5099"/>
        <w:gridCol w:w="3056"/>
      </w:tblGrid>
      <w:tr w:rsidR="00EA567C" w14:paraId="15B4B2C4" w14:textId="77777777">
        <w:tc>
          <w:tcPr>
            <w:tcW w:w="639" w:type="pct"/>
            <w:shd w:val="clear" w:color="auto" w:fill="BFBFBF" w:themeFill="background1" w:themeFillShade="BF"/>
          </w:tcPr>
          <w:p w14:paraId="15B4B2C1" w14:textId="77777777" w:rsidR="00EA567C" w:rsidRDefault="00786B2D">
            <w:pPr>
              <w:spacing w:after="0"/>
              <w:jc w:val="center"/>
              <w:rPr>
                <w:b/>
                <w:bCs/>
              </w:rPr>
            </w:pPr>
            <w:r>
              <w:rPr>
                <w:b/>
                <w:bCs/>
              </w:rPr>
              <w:t>Company’s name</w:t>
            </w:r>
          </w:p>
        </w:tc>
        <w:tc>
          <w:tcPr>
            <w:tcW w:w="2727" w:type="pct"/>
            <w:shd w:val="clear" w:color="auto" w:fill="BFBFBF" w:themeFill="background1" w:themeFillShade="BF"/>
          </w:tcPr>
          <w:p w14:paraId="15B4B2C2" w14:textId="77777777" w:rsidR="00EA567C" w:rsidRDefault="00786B2D">
            <w:pPr>
              <w:spacing w:after="0"/>
              <w:jc w:val="center"/>
              <w:rPr>
                <w:b/>
                <w:bCs/>
              </w:rPr>
            </w:pPr>
            <w:r>
              <w:rPr>
                <w:b/>
                <w:bCs/>
              </w:rPr>
              <w:t>Companies’ views</w:t>
            </w:r>
          </w:p>
        </w:tc>
        <w:tc>
          <w:tcPr>
            <w:tcW w:w="1634" w:type="pct"/>
            <w:shd w:val="clear" w:color="auto" w:fill="BFBFBF" w:themeFill="background1" w:themeFillShade="BF"/>
          </w:tcPr>
          <w:p w14:paraId="15B4B2C3" w14:textId="77777777" w:rsidR="00EA567C" w:rsidRDefault="00786B2D">
            <w:pPr>
              <w:spacing w:after="0"/>
              <w:jc w:val="center"/>
              <w:rPr>
                <w:b/>
                <w:bCs/>
                <w:color w:val="0000CC"/>
              </w:rPr>
            </w:pPr>
            <w:r>
              <w:rPr>
                <w:b/>
                <w:bCs/>
                <w:color w:val="0000CC"/>
              </w:rPr>
              <w:t>Rapporteur’s response</w:t>
            </w:r>
          </w:p>
        </w:tc>
      </w:tr>
      <w:tr w:rsidR="00EA567C" w14:paraId="15B4B2C8" w14:textId="77777777">
        <w:tc>
          <w:tcPr>
            <w:tcW w:w="639" w:type="pct"/>
          </w:tcPr>
          <w:p w14:paraId="15B4B2C5" w14:textId="77777777" w:rsidR="00EA567C" w:rsidRDefault="00786B2D">
            <w:pPr>
              <w:spacing w:after="0"/>
              <w:rPr>
                <w:color w:val="A6A6A6" w:themeColor="background1" w:themeShade="A6"/>
              </w:rPr>
            </w:pPr>
            <w:r>
              <w:rPr>
                <w:color w:val="A6A6A6" w:themeColor="background1" w:themeShade="A6"/>
              </w:rPr>
              <w:t>ZTE</w:t>
            </w:r>
          </w:p>
        </w:tc>
        <w:tc>
          <w:tcPr>
            <w:tcW w:w="2727" w:type="pct"/>
          </w:tcPr>
          <w:p w14:paraId="15B4B2C6" w14:textId="77777777" w:rsidR="00EA567C" w:rsidRDefault="00786B2D">
            <w:pPr>
              <w:spacing w:after="0"/>
              <w:rPr>
                <w:color w:val="A6A6A6" w:themeColor="background1" w:themeShade="A6"/>
              </w:rPr>
            </w:pPr>
            <w:r>
              <w:rPr>
                <w:color w:val="A6A6A6" w:themeColor="background1" w:themeShade="A6"/>
              </w:rPr>
              <w:t>As noted above, for section 4.1, there may be also some other triggers depending on which approach we take (e.g., delayed switch to CONNECTED mode during ongoing SDT without anchor relocation etc), but perhaps the intention here is to collect any other triggers as part of the discussion – and this is fine?</w:t>
            </w:r>
          </w:p>
        </w:tc>
        <w:tc>
          <w:tcPr>
            <w:tcW w:w="1634" w:type="pct"/>
          </w:tcPr>
          <w:p w14:paraId="15B4B2C7" w14:textId="77777777" w:rsidR="00EA567C" w:rsidRDefault="00786B2D">
            <w:pPr>
              <w:spacing w:after="0"/>
              <w:rPr>
                <w:color w:val="0000CC"/>
              </w:rPr>
            </w:pPr>
            <w:r>
              <w:rPr>
                <w:color w:val="0000CC"/>
              </w:rPr>
              <w:t>Yes, your understanding is right. I.e., current list is based on RAN2#114e TDoc but companies are welcome to comment and/or add new triggers to be considered (if any)</w:t>
            </w:r>
          </w:p>
        </w:tc>
      </w:tr>
      <w:tr w:rsidR="00EA567C" w14:paraId="15B4B2CD" w14:textId="77777777">
        <w:tc>
          <w:tcPr>
            <w:tcW w:w="639" w:type="pct"/>
          </w:tcPr>
          <w:p w14:paraId="15B4B2C9" w14:textId="77777777" w:rsidR="00EA567C" w:rsidRDefault="00786B2D">
            <w:pPr>
              <w:spacing w:after="0"/>
              <w:rPr>
                <w:color w:val="A6A6A6" w:themeColor="background1" w:themeShade="A6"/>
              </w:rPr>
            </w:pPr>
            <w:r>
              <w:rPr>
                <w:color w:val="A6A6A6" w:themeColor="background1" w:themeShade="A6"/>
              </w:rPr>
              <w:t>Huawei, HiSilicon</w:t>
            </w:r>
          </w:p>
        </w:tc>
        <w:tc>
          <w:tcPr>
            <w:tcW w:w="2727" w:type="pct"/>
          </w:tcPr>
          <w:p w14:paraId="15B4B2CA" w14:textId="77777777" w:rsidR="00EA567C" w:rsidRDefault="00786B2D">
            <w:pPr>
              <w:spacing w:after="0"/>
              <w:rPr>
                <w:color w:val="A6A6A6" w:themeColor="background1" w:themeShade="A6"/>
              </w:rPr>
            </w:pPr>
            <w:r>
              <w:rPr>
                <w:color w:val="A6A6A6" w:themeColor="background1" w:themeShade="A6"/>
              </w:rPr>
              <w:t>We think we should discuss the preferred behavior for each of the events mentioned in section in 4.1 separately as in some cases it may be preferable to keep the UE in RRC INACTIVE while for others it may be better that UE moves to RRC IDLE. It may not be possible to apply exactly the same behavior for all cases.</w:t>
            </w:r>
          </w:p>
          <w:p w14:paraId="15B4B2CB" w14:textId="77777777" w:rsidR="00EA567C" w:rsidRDefault="00786B2D">
            <w:pPr>
              <w:spacing w:after="0"/>
              <w:rPr>
                <w:color w:val="A6A6A6" w:themeColor="background1" w:themeShade="A6"/>
              </w:rPr>
            </w:pPr>
            <w:r>
              <w:rPr>
                <w:color w:val="A6A6A6" w:themeColor="background1" w:themeShade="A6"/>
              </w:rPr>
              <w:t>Another event worth discussing is downlink non-SDT data arrival (especially for the non-anchor relocation case). This is not a failure/abrupt termination case as such, but we need a procedure to handle this scenario.</w:t>
            </w:r>
          </w:p>
        </w:tc>
        <w:tc>
          <w:tcPr>
            <w:tcW w:w="1634" w:type="pct"/>
          </w:tcPr>
          <w:p w14:paraId="15B4B2CC" w14:textId="77777777" w:rsidR="00EA567C" w:rsidRDefault="00786B2D">
            <w:pPr>
              <w:spacing w:after="0"/>
              <w:rPr>
                <w:color w:val="0000CC"/>
              </w:rPr>
            </w:pPr>
            <w:r>
              <w:rPr>
                <w:color w:val="0000CC"/>
              </w:rPr>
              <w:t xml:space="preserve">The scope of this email discussion was the trigger of “cell reselection”, however some companies proposed common failure handling e.g. </w:t>
            </w:r>
            <w:r>
              <w:rPr>
                <w:color w:val="0000CC"/>
              </w:rPr>
              <w:fldChar w:fldCharType="begin"/>
            </w:r>
            <w:r>
              <w:rPr>
                <w:color w:val="0000CC"/>
              </w:rPr>
              <w:instrText xml:space="preserve"> REF _Ref74088838 \r \h  \* MERGEFORMAT </w:instrText>
            </w:r>
            <w:r>
              <w:rPr>
                <w:color w:val="0000CC"/>
              </w:rPr>
            </w:r>
            <w:r>
              <w:rPr>
                <w:color w:val="0000CC"/>
              </w:rPr>
              <w:fldChar w:fldCharType="separate"/>
            </w:r>
            <w:r>
              <w:rPr>
                <w:color w:val="0000CC"/>
              </w:rPr>
              <w:t>[4]</w:t>
            </w:r>
            <w:r>
              <w:rPr>
                <w:color w:val="0000CC"/>
              </w:rPr>
              <w:fldChar w:fldCharType="end"/>
            </w:r>
            <w:r>
              <w:rPr>
                <w:color w:val="0000CC"/>
              </w:rPr>
              <w:t xml:space="preserve"> </w:t>
            </w:r>
            <w:r>
              <w:rPr>
                <w:color w:val="0000CC"/>
              </w:rPr>
              <w:fldChar w:fldCharType="begin"/>
            </w:r>
            <w:r>
              <w:rPr>
                <w:color w:val="0000CC"/>
              </w:rPr>
              <w:instrText xml:space="preserve"> REF _Ref74088860 \r \h  \* MERGEFORMAT </w:instrText>
            </w:r>
            <w:r>
              <w:rPr>
                <w:color w:val="0000CC"/>
              </w:rPr>
            </w:r>
            <w:r>
              <w:rPr>
                <w:color w:val="0000CC"/>
              </w:rPr>
              <w:fldChar w:fldCharType="separate"/>
            </w:r>
            <w:r>
              <w:rPr>
                <w:color w:val="0000CC"/>
              </w:rPr>
              <w:t>[18]</w:t>
            </w:r>
            <w:r>
              <w:rPr>
                <w:color w:val="0000CC"/>
              </w:rPr>
              <w:fldChar w:fldCharType="end"/>
            </w:r>
            <w:r>
              <w:rPr>
                <w:color w:val="0000CC"/>
              </w:rPr>
              <w:t xml:space="preserve">. Therefore as explained before section </w:t>
            </w:r>
            <w:r>
              <w:rPr>
                <w:color w:val="0000CC"/>
              </w:rPr>
              <w:fldChar w:fldCharType="begin"/>
            </w:r>
            <w:r>
              <w:rPr>
                <w:color w:val="0000CC"/>
              </w:rPr>
              <w:instrText xml:space="preserve"> REF _Hlk73969416 \r \h </w:instrText>
            </w:r>
            <w:r>
              <w:rPr>
                <w:color w:val="0000CC"/>
              </w:rPr>
            </w:r>
            <w:r>
              <w:rPr>
                <w:color w:val="0000CC"/>
              </w:rPr>
              <w:fldChar w:fldCharType="separate"/>
            </w:r>
            <w:r>
              <w:rPr>
                <w:color w:val="0000CC"/>
              </w:rPr>
              <w:t>4.1</w:t>
            </w:r>
            <w:r>
              <w:rPr>
                <w:color w:val="0000CC"/>
              </w:rPr>
              <w:fldChar w:fldCharType="end"/>
            </w:r>
            <w:r>
              <w:rPr>
                <w:color w:val="0000CC"/>
              </w:rPr>
              <w:t xml:space="preserve">, sections </w:t>
            </w:r>
            <w:r>
              <w:rPr>
                <w:color w:val="0000CC"/>
              </w:rPr>
              <w:fldChar w:fldCharType="begin"/>
            </w:r>
            <w:r>
              <w:rPr>
                <w:color w:val="0000CC"/>
              </w:rPr>
              <w:instrText xml:space="preserve"> REF _Hlk73969416 \r \h </w:instrText>
            </w:r>
            <w:r>
              <w:rPr>
                <w:color w:val="0000CC"/>
              </w:rPr>
            </w:r>
            <w:r>
              <w:rPr>
                <w:color w:val="0000CC"/>
              </w:rPr>
              <w:fldChar w:fldCharType="separate"/>
            </w:r>
            <w:r>
              <w:rPr>
                <w:color w:val="0000CC"/>
              </w:rPr>
              <w:t>4.1</w:t>
            </w:r>
            <w:r>
              <w:rPr>
                <w:color w:val="0000CC"/>
              </w:rPr>
              <w:fldChar w:fldCharType="end"/>
            </w:r>
            <w:r>
              <w:rPr>
                <w:color w:val="0000CC"/>
              </w:rPr>
              <w:t xml:space="preserve"> and </w:t>
            </w:r>
            <w:r>
              <w:rPr>
                <w:color w:val="0000CC"/>
              </w:rPr>
              <w:fldChar w:fldCharType="begin"/>
            </w:r>
            <w:r>
              <w:rPr>
                <w:color w:val="0000CC"/>
              </w:rPr>
              <w:instrText xml:space="preserve"> REF _Ref75010368 \r \h </w:instrText>
            </w:r>
            <w:r>
              <w:rPr>
                <w:color w:val="0000CC"/>
              </w:rPr>
            </w:r>
            <w:r>
              <w:rPr>
                <w:color w:val="0000CC"/>
              </w:rPr>
              <w:fldChar w:fldCharType="separate"/>
            </w:r>
            <w:r>
              <w:rPr>
                <w:color w:val="0000CC"/>
              </w:rPr>
              <w:t>4.2</w:t>
            </w:r>
            <w:r>
              <w:rPr>
                <w:color w:val="0000CC"/>
              </w:rPr>
              <w:fldChar w:fldCharType="end"/>
            </w:r>
            <w:r>
              <w:rPr>
                <w:color w:val="0000CC"/>
              </w:rPr>
              <w:t xml:space="preserve"> aims to understand whether the intention on having a common UE behaviour could be easily agreeable by companies. Otherwise, the suggestion is to focus on cell reselection trigger (as indicated in the scope of this email discussion).</w:t>
            </w:r>
          </w:p>
        </w:tc>
      </w:tr>
      <w:tr w:rsidR="00EA567C" w14:paraId="15B4B2D1" w14:textId="77777777">
        <w:tc>
          <w:tcPr>
            <w:tcW w:w="639" w:type="pct"/>
          </w:tcPr>
          <w:p w14:paraId="15B4B2CE" w14:textId="77777777" w:rsidR="00EA567C" w:rsidRDefault="00EA567C">
            <w:pPr>
              <w:spacing w:after="0"/>
            </w:pPr>
          </w:p>
        </w:tc>
        <w:tc>
          <w:tcPr>
            <w:tcW w:w="2727" w:type="pct"/>
          </w:tcPr>
          <w:p w14:paraId="15B4B2CF" w14:textId="77777777" w:rsidR="00EA567C" w:rsidRDefault="00EA567C">
            <w:pPr>
              <w:spacing w:after="0"/>
            </w:pPr>
          </w:p>
        </w:tc>
        <w:tc>
          <w:tcPr>
            <w:tcW w:w="1634" w:type="pct"/>
          </w:tcPr>
          <w:p w14:paraId="15B4B2D0" w14:textId="77777777" w:rsidR="00EA567C" w:rsidRDefault="00EA567C">
            <w:pPr>
              <w:spacing w:after="0"/>
              <w:rPr>
                <w:color w:val="0000CC"/>
              </w:rPr>
            </w:pPr>
          </w:p>
        </w:tc>
      </w:tr>
    </w:tbl>
    <w:p w14:paraId="15B4B2D2" w14:textId="77777777" w:rsidR="00EA567C" w:rsidRDefault="00EA567C">
      <w:pPr>
        <w:rPr>
          <w:rFonts w:ascii="Times New Roman" w:hAnsi="Times New Roman" w:cs="Times New Roman"/>
          <w:sz w:val="20"/>
          <w:szCs w:val="20"/>
        </w:rPr>
      </w:pPr>
    </w:p>
    <w:p w14:paraId="15B4B2D3" w14:textId="77777777" w:rsidR="00EA567C" w:rsidRDefault="00EA567C">
      <w:pPr>
        <w:tabs>
          <w:tab w:val="left" w:pos="1327"/>
        </w:tabs>
        <w:spacing w:after="60"/>
        <w:jc w:val="both"/>
        <w:rPr>
          <w:rFonts w:ascii="Times New Roman" w:hAnsi="Times New Roman" w:cs="Times New Roman"/>
          <w:sz w:val="20"/>
          <w:szCs w:val="20"/>
        </w:rPr>
      </w:pPr>
    </w:p>
    <w:p w14:paraId="15B4B2D4" w14:textId="77777777" w:rsidR="00EA567C" w:rsidRDefault="00EA567C">
      <w:pPr>
        <w:tabs>
          <w:tab w:val="left" w:pos="1327"/>
        </w:tabs>
        <w:spacing w:after="60"/>
        <w:jc w:val="both"/>
        <w:rPr>
          <w:rFonts w:ascii="Times New Roman" w:hAnsi="Times New Roman" w:cs="Times New Roman"/>
          <w:sz w:val="20"/>
          <w:szCs w:val="20"/>
        </w:rPr>
      </w:pPr>
    </w:p>
    <w:p w14:paraId="15B4B2D5" w14:textId="77777777" w:rsidR="00EA567C" w:rsidRDefault="00786B2D">
      <w:pPr>
        <w:pStyle w:val="1"/>
      </w:pPr>
      <w:bookmarkStart w:id="6" w:name="_Ref74123258"/>
      <w:bookmarkStart w:id="7" w:name="_Ref74135971"/>
      <w:r>
        <w:lastRenderedPageBreak/>
        <w:t>General topics: switch from SDT to CONNECTED</w:t>
      </w:r>
      <w:bookmarkEnd w:id="6"/>
      <w:bookmarkEnd w:id="7"/>
    </w:p>
    <w:p w14:paraId="15B4B2D6" w14:textId="77777777" w:rsidR="00EA567C" w:rsidRDefault="00786B2D">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RAN2 has agreed to support transition from SDT session to RRC_CONNECTED where that SDT session could be ongoing with and without UE AS Context relocation as shown in related agreements below.</w:t>
      </w:r>
    </w:p>
    <w:p w14:paraId="15B4B2D7" w14:textId="77777777" w:rsidR="00EA567C" w:rsidRDefault="00786B2D">
      <w:pPr>
        <w:pStyle w:val="a9"/>
        <w:numPr>
          <w:ilvl w:val="0"/>
          <w:numId w:val="24"/>
        </w:numPr>
        <w:tabs>
          <w:tab w:val="left" w:pos="1327"/>
        </w:tabs>
        <w:spacing w:after="60"/>
        <w:contextualSpacing w:val="0"/>
        <w:jc w:val="both"/>
      </w:pPr>
      <w:r>
        <w:t>RAN2#113bis: “</w:t>
      </w:r>
      <w:r>
        <w:rPr>
          <w:i/>
          <w:iCs/>
        </w:rPr>
        <w:t xml:space="preserve">UE switches from SDT to non-SDT in following cases: Case 1 (27/0): </w:t>
      </w:r>
      <w:r>
        <w:rPr>
          <w:i/>
          <w:iCs/>
          <w:u w:val="single"/>
        </w:rPr>
        <w:t>UE receive indication from network to switch to non-SDT procedure. Network can send RRCResume</w:t>
      </w:r>
      <w:r>
        <w:rPr>
          <w:i/>
          <w:iCs/>
        </w:rPr>
        <w:t>. FFS whether network can send indication in RAR/fallbackRAR/DCI to switch to non-SDT procedure.”</w:t>
      </w:r>
    </w:p>
    <w:p w14:paraId="15B4B2D8" w14:textId="77777777" w:rsidR="00EA567C" w:rsidRDefault="00786B2D">
      <w:pPr>
        <w:pStyle w:val="a9"/>
        <w:numPr>
          <w:ilvl w:val="0"/>
          <w:numId w:val="24"/>
        </w:numPr>
        <w:tabs>
          <w:tab w:val="left" w:pos="1327"/>
        </w:tabs>
        <w:spacing w:after="60"/>
        <w:contextualSpacing w:val="0"/>
        <w:jc w:val="both"/>
      </w:pPr>
      <w:r>
        <w:t>RAN2#112: “</w:t>
      </w:r>
      <w:r>
        <w:rPr>
          <w:i/>
          <w:iCs/>
        </w:rPr>
        <w:t xml:space="preserve">RAN2 confirm that RACH based SDT is supported with and </w:t>
      </w:r>
      <w:r>
        <w:rPr>
          <w:i/>
          <w:iCs/>
          <w:u w:val="single"/>
        </w:rPr>
        <w:t>without UE context relocation</w:t>
      </w:r>
      <w:r>
        <w:t>”</w:t>
      </w:r>
    </w:p>
    <w:p w14:paraId="15B4B2D9" w14:textId="77777777" w:rsidR="00EA567C" w:rsidRDefault="00786B2D">
      <w:pPr>
        <w:pStyle w:val="a9"/>
        <w:numPr>
          <w:ilvl w:val="0"/>
          <w:numId w:val="24"/>
        </w:numPr>
        <w:tabs>
          <w:tab w:val="left" w:pos="1327"/>
        </w:tabs>
        <w:spacing w:after="60"/>
        <w:jc w:val="both"/>
      </w:pPr>
      <w:r>
        <w:t>RAN2#111: “</w:t>
      </w:r>
      <w:r>
        <w:rPr>
          <w:i/>
          <w:iCs/>
          <w:u w:val="single"/>
        </w:rPr>
        <w:t>Context fetch and data forwarding</w:t>
      </w:r>
      <w:r>
        <w:rPr>
          <w:i/>
          <w:iCs/>
        </w:rPr>
        <w:t xml:space="preserve"> </w:t>
      </w:r>
      <w:r>
        <w:rPr>
          <w:i/>
          <w:iCs/>
          <w:u w:val="single"/>
        </w:rPr>
        <w:t>with anchor re-location</w:t>
      </w:r>
      <w:r>
        <w:rPr>
          <w:i/>
          <w:iCs/>
        </w:rPr>
        <w:t xml:space="preserve"> and </w:t>
      </w:r>
      <w:r>
        <w:rPr>
          <w:i/>
          <w:iCs/>
          <w:u w:val="single"/>
        </w:rPr>
        <w:t>without anchor re-location</w:t>
      </w:r>
      <w:r>
        <w:rPr>
          <w:i/>
          <w:iCs/>
        </w:rPr>
        <w:t xml:space="preserve"> will be considered.   FFS if there are problems with the scenario “without anchor relocation</w:t>
      </w:r>
      <w:r>
        <w:t>”</w:t>
      </w:r>
    </w:p>
    <w:p w14:paraId="15B4B2DA" w14:textId="77777777" w:rsidR="00EA567C" w:rsidRDefault="00786B2D">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 xml:space="preserve">This section addresses general topics for discussion that are therefore applicable to any scenario where the UE with an ongoing SDT session fallbacks into RRC_CONNECTED regardless of the trigger condition. Some of those trigger conditions may be because network wants to continue the exchange of the SDT data while having the UE in RRC_CONNECTED or network detects DL non-SDT data or network is informed that UL non-SDT data is available in UE side. </w:t>
      </w:r>
    </w:p>
    <w:p w14:paraId="15B4B2DB" w14:textId="77777777" w:rsidR="00EA567C" w:rsidRDefault="00786B2D">
      <w:pPr>
        <w:pStyle w:val="2"/>
      </w:pPr>
      <w:r>
        <w:t>Topic #1: Handling to switch from SDT to CONNECTED during an ongoing SDT session without UE AS context relocation</w:t>
      </w:r>
    </w:p>
    <w:p w14:paraId="15B4B2DC"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Rel-17 SDT WID captures that “</w:t>
      </w:r>
      <w:r>
        <w:rPr>
          <w:rFonts w:ascii="Times New Roman" w:hAnsi="Times New Roman" w:cs="Times New Roman"/>
          <w:i/>
          <w:iCs/>
          <w:sz w:val="20"/>
          <w:szCs w:val="20"/>
        </w:rPr>
        <w:t>UL small data transmissions for RACH-based schemes (i.e. 2-step and 4-step RACH)</w:t>
      </w:r>
      <w:r>
        <w:rPr>
          <w:rFonts w:ascii="Times New Roman" w:hAnsi="Times New Roman" w:cs="Times New Roman"/>
          <w:sz w:val="20"/>
          <w:szCs w:val="20"/>
        </w:rPr>
        <w:t>” will be enabled with “</w:t>
      </w:r>
      <w:r>
        <w:rPr>
          <w:rFonts w:ascii="Times New Roman" w:hAnsi="Times New Roman" w:cs="Times New Roman"/>
          <w:i/>
          <w:iCs/>
          <w:sz w:val="20"/>
          <w:szCs w:val="20"/>
        </w:rPr>
        <w:t>Context fetch and data forwarding (with and without anchor relocation) in INACTIVE state for RACH-based solutions</w:t>
      </w:r>
      <w:r>
        <w:rPr>
          <w:rFonts w:ascii="Times New Roman" w:hAnsi="Times New Roman" w:cs="Times New Roman"/>
          <w:sz w:val="20"/>
          <w:szCs w:val="20"/>
        </w:rPr>
        <w:t xml:space="preserve">”. Whether and how to address the scenario when UE transitions into RRC_CONNECTED during an ongoing SDT session where UE AS context was not relocated is discussed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_Ref74088741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_Ref74088756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p w14:paraId="15B4B2DD" w14:textId="77777777" w:rsidR="00EA567C" w:rsidRDefault="00786B2D">
      <w:pPr>
        <w:spacing w:after="0"/>
        <w:jc w:val="center"/>
      </w:pPr>
      <w:r>
        <w:rPr>
          <w:noProof/>
        </w:rPr>
        <w:object w:dxaOrig="7794" w:dyaOrig="5357" w14:anchorId="15B4B8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2.7pt;height:259.75pt;mso-width-percent:0;mso-height-percent:0;mso-width-percent:0;mso-height-percent:0" o:ole="">
            <v:imagedata r:id="rId11" o:title=""/>
          </v:shape>
          <o:OLEObject Type="Embed" ProgID="Visio.Drawing.11" ShapeID="_x0000_i1025" DrawAspect="Content" ObjectID="_1688365983" r:id="rId12"/>
        </w:object>
      </w:r>
    </w:p>
    <w:p w14:paraId="15B4B2DE" w14:textId="77777777" w:rsidR="00EA567C" w:rsidRDefault="00786B2D">
      <w:pPr>
        <w:pStyle w:val="af6"/>
        <w:jc w:val="center"/>
        <w:rPr>
          <w:i w:val="0"/>
          <w:iCs w:val="0"/>
          <w:color w:val="auto"/>
          <w:sz w:val="20"/>
          <w:szCs w:val="20"/>
        </w:rPr>
      </w:pPr>
      <w:bookmarkStart w:id="8" w:name="_Ref74133031"/>
      <w:r>
        <w:rPr>
          <w:i w:val="0"/>
          <w:iCs w:val="0"/>
          <w:color w:val="auto"/>
          <w:sz w:val="20"/>
          <w:szCs w:val="20"/>
        </w:rPr>
        <w:t xml:space="preserve">Figure </w:t>
      </w:r>
      <w:r>
        <w:fldChar w:fldCharType="begin"/>
      </w:r>
      <w:r>
        <w:rPr>
          <w:i w:val="0"/>
          <w:iCs w:val="0"/>
          <w:color w:val="auto"/>
          <w:sz w:val="20"/>
          <w:szCs w:val="20"/>
        </w:rPr>
        <w:instrText xml:space="preserve"> SEQ Figure \* ARABIC </w:instrText>
      </w:r>
      <w:r>
        <w:fldChar w:fldCharType="separate"/>
      </w:r>
      <w:r>
        <w:rPr>
          <w:i w:val="0"/>
          <w:iCs w:val="0"/>
          <w:noProof/>
          <w:color w:val="auto"/>
          <w:sz w:val="20"/>
          <w:szCs w:val="20"/>
        </w:rPr>
        <w:t>1</w:t>
      </w:r>
      <w:r>
        <w:fldChar w:fldCharType="end"/>
      </w:r>
      <w:bookmarkEnd w:id="8"/>
      <w:r>
        <w:rPr>
          <w:i w:val="0"/>
          <w:iCs w:val="0"/>
          <w:color w:val="auto"/>
          <w:sz w:val="20"/>
          <w:szCs w:val="20"/>
        </w:rPr>
        <w:t xml:space="preserve">. Transition into RRC_CONNECTED during subsequent SDT without anchor relocation </w:t>
      </w:r>
      <w:r>
        <w:rPr>
          <w:i w:val="0"/>
          <w:iCs w:val="0"/>
          <w:color w:val="auto"/>
          <w:sz w:val="20"/>
          <w:szCs w:val="20"/>
        </w:rPr>
        <w:fldChar w:fldCharType="begin"/>
      </w:r>
      <w:r>
        <w:rPr>
          <w:i w:val="0"/>
          <w:iCs w:val="0"/>
          <w:color w:val="auto"/>
          <w:sz w:val="20"/>
          <w:szCs w:val="20"/>
        </w:rPr>
        <w:instrText xml:space="preserve"> REF _Ref74088756 \r \h  \* MERGEFORMAT </w:instrText>
      </w:r>
      <w:r>
        <w:rPr>
          <w:i w:val="0"/>
          <w:iCs w:val="0"/>
          <w:color w:val="auto"/>
          <w:sz w:val="20"/>
          <w:szCs w:val="20"/>
        </w:rPr>
      </w:r>
      <w:r>
        <w:rPr>
          <w:i w:val="0"/>
          <w:iCs w:val="0"/>
          <w:color w:val="auto"/>
          <w:sz w:val="20"/>
          <w:szCs w:val="20"/>
        </w:rPr>
        <w:fldChar w:fldCharType="separate"/>
      </w:r>
      <w:r>
        <w:rPr>
          <w:i w:val="0"/>
          <w:iCs w:val="0"/>
          <w:color w:val="auto"/>
          <w:sz w:val="20"/>
          <w:szCs w:val="20"/>
        </w:rPr>
        <w:t>[8]</w:t>
      </w:r>
      <w:r>
        <w:rPr>
          <w:i w:val="0"/>
          <w:iCs w:val="0"/>
          <w:color w:val="auto"/>
          <w:sz w:val="20"/>
          <w:szCs w:val="20"/>
        </w:rPr>
        <w:fldChar w:fldCharType="end"/>
      </w:r>
      <w:r>
        <w:rPr>
          <w:i w:val="0"/>
          <w:iCs w:val="0"/>
          <w:color w:val="auto"/>
          <w:sz w:val="20"/>
          <w:szCs w:val="20"/>
        </w:rPr>
        <w:t xml:space="preserve"> </w:t>
      </w:r>
    </w:p>
    <w:p w14:paraId="15B4B2DF" w14:textId="77777777" w:rsidR="00EA567C" w:rsidRDefault="00786B2D">
      <w:pPr>
        <w:spacing w:after="120"/>
        <w:jc w:val="both"/>
        <w:rPr>
          <w:rFonts w:ascii="Times New Roman" w:hAnsi="Times New Roman" w:cs="Times New Roman"/>
          <w:sz w:val="20"/>
          <w:szCs w:val="20"/>
        </w:rPr>
      </w:pPr>
      <w:r>
        <w:rPr>
          <w:rFonts w:ascii="Times New Roman" w:hAnsi="Times New Roman" w:cs="Times New Roman"/>
          <w:sz w:val="20"/>
          <w:szCs w:val="20"/>
        </w:rPr>
        <w:t xml:space="preserve">For the scenario explained above and also shown in the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_Ref74133031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 xml:space="preserve">Figure </w:t>
      </w:r>
      <w:r>
        <w:rPr>
          <w:rFonts w:ascii="Times New Roman" w:hAnsi="Times New Roman" w:cs="Times New Roman"/>
          <w:noProof/>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 the following approaches are suggested:</w:t>
      </w:r>
    </w:p>
    <w:p w14:paraId="15B4B2E0" w14:textId="77777777" w:rsidR="00EA567C" w:rsidRDefault="00786B2D">
      <w:pPr>
        <w:pStyle w:val="a9"/>
        <w:numPr>
          <w:ilvl w:val="0"/>
          <w:numId w:val="14"/>
        </w:numPr>
        <w:overflowPunct/>
        <w:autoSpaceDE/>
        <w:autoSpaceDN/>
        <w:adjustRightInd/>
        <w:spacing w:after="60" w:line="257" w:lineRule="auto"/>
        <w:contextualSpacing w:val="0"/>
        <w:jc w:val="both"/>
        <w:rPr>
          <w:iCs/>
        </w:rPr>
      </w:pPr>
      <w:r>
        <w:lastRenderedPageBreak/>
        <w:t xml:space="preserve">Network release the UE back into RRC_INACTIVE (potentially with updated suspend and SDT configurations) </w:t>
      </w:r>
      <w:r>
        <w:fldChar w:fldCharType="begin"/>
      </w:r>
      <w:r>
        <w:instrText xml:space="preserve"> REF _Ref74088716 \r \h </w:instrText>
      </w:r>
      <w:r>
        <w:fldChar w:fldCharType="separate"/>
      </w:r>
      <w:r>
        <w:t>[5]</w:t>
      </w:r>
      <w:r>
        <w:fldChar w:fldCharType="end"/>
      </w:r>
      <w:r>
        <w:t>. This may lead to additional delay (from the release and initiation of a follow up new attempt), however it may not be an scenario that occurs frequently.</w:t>
      </w:r>
    </w:p>
    <w:p w14:paraId="15B4B2E1" w14:textId="77777777" w:rsidR="00EA567C" w:rsidRDefault="00786B2D">
      <w:pPr>
        <w:pStyle w:val="a9"/>
        <w:numPr>
          <w:ilvl w:val="0"/>
          <w:numId w:val="14"/>
        </w:numPr>
        <w:overflowPunct/>
        <w:autoSpaceDE/>
        <w:autoSpaceDN/>
        <w:adjustRightInd/>
        <w:spacing w:after="120" w:line="257" w:lineRule="auto"/>
        <w:contextualSpacing w:val="0"/>
        <w:jc w:val="both"/>
        <w:rPr>
          <w:iCs/>
        </w:rPr>
      </w:pPr>
      <w:r>
        <w:rPr>
          <w:iCs/>
        </w:rPr>
        <w:t xml:space="preserve">A new mechanism is defined by RAN2/3 to update the security keys during the ongoing SDT session (due to the relocation of the UE context during an ongoing SDT session) </w:t>
      </w:r>
      <w:r>
        <w:fldChar w:fldCharType="begin"/>
      </w:r>
      <w:r>
        <w:instrText xml:space="preserve"> REF _Ref74088521 \r \h </w:instrText>
      </w:r>
      <w:r>
        <w:fldChar w:fldCharType="separate"/>
      </w:r>
      <w:r>
        <w:t>[6]</w:t>
      </w:r>
      <w:r>
        <w:fldChar w:fldCharType="end"/>
      </w:r>
      <w:r>
        <w:rPr>
          <w:iCs/>
        </w:rPr>
        <w:fldChar w:fldCharType="begin"/>
      </w:r>
      <w:r>
        <w:rPr>
          <w:iCs/>
        </w:rPr>
        <w:instrText xml:space="preserve"> REF _Ref74088756 \r \h </w:instrText>
      </w:r>
      <w:r>
        <w:rPr>
          <w:iCs/>
        </w:rPr>
      </w:r>
      <w:r>
        <w:rPr>
          <w:iCs/>
        </w:rPr>
        <w:fldChar w:fldCharType="separate"/>
      </w:r>
      <w:r>
        <w:rPr>
          <w:iCs/>
        </w:rPr>
        <w:t>[8]</w:t>
      </w:r>
      <w:r>
        <w:rPr>
          <w:iCs/>
        </w:rPr>
        <w:fldChar w:fldCharType="end"/>
      </w:r>
      <w:r>
        <w:rPr>
          <w:iCs/>
        </w:rPr>
        <w:fldChar w:fldCharType="begin"/>
      </w:r>
      <w:r>
        <w:rPr>
          <w:iCs/>
        </w:rPr>
        <w:instrText xml:space="preserve"> REF _Ref74088530 \r \h </w:instrText>
      </w:r>
      <w:r>
        <w:rPr>
          <w:iCs/>
        </w:rPr>
      </w:r>
      <w:r>
        <w:rPr>
          <w:iCs/>
        </w:rPr>
        <w:fldChar w:fldCharType="separate"/>
      </w:r>
      <w:r>
        <w:rPr>
          <w:iCs/>
        </w:rPr>
        <w:t>[19]</w:t>
      </w:r>
      <w:r>
        <w:rPr>
          <w:iCs/>
        </w:rPr>
        <w:fldChar w:fldCharType="end"/>
      </w:r>
      <w:r>
        <w:rPr>
          <w:iCs/>
        </w:rPr>
        <w:t xml:space="preserve">. The new procedure would be required to support the key change involving: to provide new NCC to the UE, suspend data transfer, resetting L2, re-establish PDCP, Resume data transfer. In addition, RAN2 will need to also discuss which node triggers the anchor change and which node generates the RRC message with the NCC considering the network architecture (including how the CU DU split is done for anchoring). Open questions are also identified by </w:t>
      </w:r>
      <w:r>
        <w:rPr>
          <w:iCs/>
        </w:rPr>
        <w:fldChar w:fldCharType="begin"/>
      </w:r>
      <w:r>
        <w:rPr>
          <w:iCs/>
        </w:rPr>
        <w:instrText xml:space="preserve"> REF _Ref74088530 \r \h </w:instrText>
      </w:r>
      <w:r>
        <w:rPr>
          <w:iCs/>
        </w:rPr>
      </w:r>
      <w:r>
        <w:rPr>
          <w:iCs/>
        </w:rPr>
        <w:fldChar w:fldCharType="separate"/>
      </w:r>
      <w:r>
        <w:rPr>
          <w:iCs/>
        </w:rPr>
        <w:t>[19]</w:t>
      </w:r>
      <w:r>
        <w:rPr>
          <w:iCs/>
        </w:rPr>
        <w:fldChar w:fldCharType="end"/>
      </w:r>
      <w:r>
        <w:rPr>
          <w:iCs/>
        </w:rPr>
        <w:fldChar w:fldCharType="begin"/>
      </w:r>
      <w:r>
        <w:rPr>
          <w:iCs/>
        </w:rPr>
        <w:instrText xml:space="preserve"> REF _Ref74088756 \r \h </w:instrText>
      </w:r>
      <w:r>
        <w:rPr>
          <w:iCs/>
        </w:rPr>
      </w:r>
      <w:r>
        <w:rPr>
          <w:iCs/>
        </w:rPr>
        <w:fldChar w:fldCharType="separate"/>
      </w:r>
      <w:r>
        <w:rPr>
          <w:iCs/>
        </w:rPr>
        <w:t>[8]</w:t>
      </w:r>
      <w:r>
        <w:rPr>
          <w:iCs/>
        </w:rPr>
        <w:fldChar w:fldCharType="end"/>
      </w:r>
      <w:r>
        <w:rPr>
          <w:iCs/>
        </w:rPr>
        <w:t>:</w:t>
      </w:r>
    </w:p>
    <w:p w14:paraId="15B4B2E2" w14:textId="77777777" w:rsidR="00EA567C" w:rsidRDefault="00786B2D">
      <w:pPr>
        <w:pStyle w:val="a9"/>
        <w:numPr>
          <w:ilvl w:val="0"/>
          <w:numId w:val="19"/>
        </w:numPr>
        <w:overflowPunct/>
        <w:autoSpaceDE/>
        <w:autoSpaceDN/>
        <w:adjustRightInd/>
        <w:spacing w:after="60" w:line="257" w:lineRule="auto"/>
        <w:ind w:left="1800"/>
        <w:contextualSpacing w:val="0"/>
        <w:jc w:val="both"/>
        <w:rPr>
          <w:iCs/>
        </w:rPr>
      </w:pPr>
      <w:bookmarkStart w:id="9" w:name="_Ref75251966"/>
      <w:bookmarkStart w:id="10" w:name="_Hlk75086147"/>
      <w:r>
        <w:rPr>
          <w:iCs/>
        </w:rPr>
        <w:t xml:space="preserve">Which node decides the content of </w:t>
      </w:r>
      <w:r>
        <w:rPr>
          <w:i/>
        </w:rPr>
        <w:t>RRCResume</w:t>
      </w:r>
      <w:r>
        <w:rPr>
          <w:iCs/>
        </w:rPr>
        <w:t xml:space="preserve"> message (anchor gNB vs serving gNB)?</w:t>
      </w:r>
      <w:bookmarkEnd w:id="9"/>
    </w:p>
    <w:p w14:paraId="15B4B2E3" w14:textId="77777777" w:rsidR="00EA567C" w:rsidRDefault="00786B2D">
      <w:pPr>
        <w:pStyle w:val="a9"/>
        <w:numPr>
          <w:ilvl w:val="0"/>
          <w:numId w:val="19"/>
        </w:numPr>
        <w:overflowPunct/>
        <w:autoSpaceDE/>
        <w:autoSpaceDN/>
        <w:adjustRightInd/>
        <w:spacing w:after="60" w:line="257" w:lineRule="auto"/>
        <w:ind w:left="1800"/>
        <w:contextualSpacing w:val="0"/>
        <w:jc w:val="both"/>
        <w:rPr>
          <w:iCs/>
        </w:rPr>
      </w:pPr>
      <w:bookmarkStart w:id="11" w:name="_Ref75001629"/>
      <w:r>
        <w:rPr>
          <w:iCs/>
        </w:rPr>
        <w:t xml:space="preserve">Which node performs ciphering and integrity protection for </w:t>
      </w:r>
      <w:r>
        <w:rPr>
          <w:i/>
        </w:rPr>
        <w:t>RRCResume</w:t>
      </w:r>
      <w:r>
        <w:rPr>
          <w:iCs/>
        </w:rPr>
        <w:t xml:space="preserve"> message?</w:t>
      </w:r>
      <w:bookmarkEnd w:id="11"/>
    </w:p>
    <w:p w14:paraId="15B4B2E4" w14:textId="77777777" w:rsidR="00EA567C" w:rsidRDefault="00786B2D">
      <w:pPr>
        <w:pStyle w:val="a9"/>
        <w:numPr>
          <w:ilvl w:val="0"/>
          <w:numId w:val="19"/>
        </w:numPr>
        <w:overflowPunct/>
        <w:autoSpaceDE/>
        <w:autoSpaceDN/>
        <w:adjustRightInd/>
        <w:spacing w:after="60" w:line="257" w:lineRule="auto"/>
        <w:ind w:left="1800"/>
        <w:contextualSpacing w:val="0"/>
        <w:jc w:val="both"/>
        <w:rPr>
          <w:iCs/>
        </w:rPr>
      </w:pPr>
      <w:r>
        <w:rPr>
          <w:iCs/>
        </w:rPr>
        <w:t xml:space="preserve">Handling of the </w:t>
      </w:r>
      <w:r>
        <w:t xml:space="preserve">security key update e.g. </w:t>
      </w:r>
    </w:p>
    <w:p w14:paraId="15B4B2E5" w14:textId="77777777" w:rsidR="00EA567C" w:rsidRDefault="00786B2D">
      <w:pPr>
        <w:pStyle w:val="a9"/>
        <w:numPr>
          <w:ilvl w:val="2"/>
          <w:numId w:val="19"/>
        </w:numPr>
        <w:overflowPunct/>
        <w:autoSpaceDE/>
        <w:autoSpaceDN/>
        <w:adjustRightInd/>
        <w:spacing w:after="60" w:line="257" w:lineRule="auto"/>
        <w:contextualSpacing w:val="0"/>
        <w:jc w:val="both"/>
        <w:rPr>
          <w:iCs/>
        </w:rPr>
      </w:pPr>
      <w:r>
        <w:t>after receiving the second RRCResumeReq from the same UE, will the anchor gNB generate another new KgNB associated with the same target gNB?</w:t>
      </w:r>
    </w:p>
    <w:p w14:paraId="15B4B2E6" w14:textId="77777777" w:rsidR="00EA567C" w:rsidRDefault="00786B2D">
      <w:pPr>
        <w:pStyle w:val="a9"/>
        <w:numPr>
          <w:ilvl w:val="2"/>
          <w:numId w:val="19"/>
        </w:numPr>
        <w:overflowPunct/>
        <w:autoSpaceDE/>
        <w:autoSpaceDN/>
        <w:adjustRightInd/>
        <w:spacing w:after="60" w:line="257" w:lineRule="auto"/>
        <w:contextualSpacing w:val="0"/>
        <w:jc w:val="both"/>
        <w:rPr>
          <w:iCs/>
        </w:rPr>
      </w:pPr>
      <w:r>
        <w:rPr>
          <w:rFonts w:eastAsiaTheme="minorEastAsia"/>
          <w:lang w:eastAsia="zh-CN"/>
        </w:rPr>
        <w:t xml:space="preserve">how to ensure security key separation if UL/DL data and </w:t>
      </w:r>
      <w:r>
        <w:rPr>
          <w:rFonts w:eastAsiaTheme="minorEastAsia"/>
          <w:i/>
          <w:iCs/>
          <w:lang w:eastAsia="zh-CN"/>
        </w:rPr>
        <w:t>RRCResume</w:t>
      </w:r>
      <w:r>
        <w:rPr>
          <w:rFonts w:eastAsiaTheme="minorEastAsia"/>
          <w:lang w:eastAsia="zh-CN"/>
        </w:rPr>
        <w:t xml:space="preserve"> message are treated by anchor gNB with updated security key and then, </w:t>
      </w:r>
      <w:r>
        <w:rPr>
          <w:rFonts w:eastAsiaTheme="minorEastAsia"/>
          <w:i/>
          <w:iCs/>
          <w:lang w:eastAsia="zh-CN"/>
        </w:rPr>
        <w:t>RRCResumeComplete</w:t>
      </w:r>
      <w:r>
        <w:rPr>
          <w:rFonts w:eastAsiaTheme="minorEastAsia"/>
          <w:lang w:eastAsia="zh-CN"/>
        </w:rPr>
        <w:t xml:space="preserve"> message and subsequent UL/DL are treated by the current serving gNB.</w:t>
      </w:r>
    </w:p>
    <w:p w14:paraId="15B4B2E7" w14:textId="77777777" w:rsidR="00EA567C" w:rsidRDefault="00786B2D">
      <w:pPr>
        <w:pStyle w:val="a9"/>
        <w:numPr>
          <w:ilvl w:val="0"/>
          <w:numId w:val="19"/>
        </w:numPr>
        <w:overflowPunct/>
        <w:autoSpaceDE/>
        <w:autoSpaceDN/>
        <w:adjustRightInd/>
        <w:spacing w:after="120" w:line="257" w:lineRule="auto"/>
        <w:ind w:left="1800"/>
        <w:contextualSpacing w:val="0"/>
        <w:jc w:val="both"/>
        <w:rPr>
          <w:iCs/>
        </w:rPr>
      </w:pPr>
      <w:r>
        <w:t xml:space="preserve">Which node decodes </w:t>
      </w:r>
      <w:r>
        <w:rPr>
          <w:i/>
          <w:iCs/>
        </w:rPr>
        <w:t>RRCResumeComplete</w:t>
      </w:r>
      <w:r>
        <w:t xml:space="preserve"> message</w:t>
      </w:r>
    </w:p>
    <w:bookmarkEnd w:id="10"/>
    <w:p w14:paraId="15B4B2E8" w14:textId="77777777" w:rsidR="00EA567C" w:rsidRDefault="00786B2D">
      <w:pPr>
        <w:spacing w:after="120" w:line="257" w:lineRule="auto"/>
        <w:jc w:val="both"/>
        <w:rPr>
          <w:rFonts w:ascii="Times New Roman" w:hAnsi="Times New Roman" w:cs="Times New Roman"/>
          <w:iCs/>
          <w:sz w:val="20"/>
          <w:szCs w:val="20"/>
        </w:rPr>
      </w:pPr>
      <w:r>
        <w:rPr>
          <w:rFonts w:ascii="Times New Roman" w:hAnsi="Times New Roman" w:cs="Times New Roman"/>
          <w:iCs/>
          <w:sz w:val="20"/>
          <w:szCs w:val="20"/>
        </w:rPr>
        <w:t xml:space="preserve">Moreover solution details on the questions listed above and how the new mechanism may look like are also provided by </w:t>
      </w:r>
      <w:r>
        <w:rPr>
          <w:rFonts w:ascii="Times New Roman" w:hAnsi="Times New Roman" w:cs="Times New Roman"/>
          <w:iCs/>
          <w:sz w:val="20"/>
          <w:szCs w:val="20"/>
        </w:rPr>
        <w:fldChar w:fldCharType="begin"/>
      </w:r>
      <w:r>
        <w:rPr>
          <w:rFonts w:ascii="Times New Roman" w:hAnsi="Times New Roman" w:cs="Times New Roman"/>
          <w:iCs/>
          <w:sz w:val="20"/>
          <w:szCs w:val="20"/>
        </w:rPr>
        <w:instrText xml:space="preserve"> REF _Ref74088756 \r \h  \* MERGEFORMAT </w:instrText>
      </w:r>
      <w:r>
        <w:rPr>
          <w:rFonts w:ascii="Times New Roman" w:hAnsi="Times New Roman" w:cs="Times New Roman"/>
          <w:iCs/>
          <w:sz w:val="20"/>
          <w:szCs w:val="20"/>
        </w:rPr>
      </w:r>
      <w:r>
        <w:rPr>
          <w:rFonts w:ascii="Times New Roman" w:hAnsi="Times New Roman" w:cs="Times New Roman"/>
          <w:iCs/>
          <w:sz w:val="20"/>
          <w:szCs w:val="20"/>
        </w:rPr>
        <w:fldChar w:fldCharType="separate"/>
      </w:r>
      <w:r>
        <w:rPr>
          <w:rFonts w:ascii="Times New Roman" w:hAnsi="Times New Roman" w:cs="Times New Roman"/>
          <w:iCs/>
          <w:sz w:val="20"/>
          <w:szCs w:val="20"/>
        </w:rPr>
        <w:t>[8]</w:t>
      </w:r>
      <w:r>
        <w:rPr>
          <w:rFonts w:ascii="Times New Roman" w:hAnsi="Times New Roman" w:cs="Times New Roman"/>
          <w:iCs/>
          <w:sz w:val="20"/>
          <w:szCs w:val="20"/>
        </w:rPr>
        <w:fldChar w:fldCharType="end"/>
      </w:r>
      <w:r>
        <w:rPr>
          <w:rFonts w:ascii="Times New Roman" w:hAnsi="Times New Roman" w:cs="Times New Roman"/>
          <w:iCs/>
          <w:sz w:val="20"/>
          <w:szCs w:val="20"/>
        </w:rPr>
        <w:fldChar w:fldCharType="begin"/>
      </w:r>
      <w:r>
        <w:rPr>
          <w:rFonts w:ascii="Times New Roman" w:hAnsi="Times New Roman" w:cs="Times New Roman"/>
          <w:iCs/>
          <w:sz w:val="20"/>
          <w:szCs w:val="20"/>
        </w:rPr>
        <w:instrText xml:space="preserve"> REF _Ref74088530 \r \h  \* MERGEFORMAT </w:instrText>
      </w:r>
      <w:r>
        <w:rPr>
          <w:rFonts w:ascii="Times New Roman" w:hAnsi="Times New Roman" w:cs="Times New Roman"/>
          <w:iCs/>
          <w:sz w:val="20"/>
          <w:szCs w:val="20"/>
        </w:rPr>
      </w:r>
      <w:r>
        <w:rPr>
          <w:rFonts w:ascii="Times New Roman" w:hAnsi="Times New Roman" w:cs="Times New Roman"/>
          <w:iCs/>
          <w:sz w:val="20"/>
          <w:szCs w:val="20"/>
        </w:rPr>
        <w:fldChar w:fldCharType="separate"/>
      </w:r>
      <w:r>
        <w:rPr>
          <w:rFonts w:ascii="Times New Roman" w:hAnsi="Times New Roman" w:cs="Times New Roman"/>
          <w:iCs/>
          <w:sz w:val="20"/>
          <w:szCs w:val="20"/>
        </w:rPr>
        <w:t>[19]</w:t>
      </w:r>
      <w:r>
        <w:rPr>
          <w:rFonts w:ascii="Times New Roman" w:hAnsi="Times New Roman" w:cs="Times New Roman"/>
          <w:iCs/>
          <w:sz w:val="20"/>
          <w:szCs w:val="20"/>
        </w:rPr>
        <w:fldChar w:fldCharType="end"/>
      </w:r>
      <w:r>
        <w:rPr>
          <w:rFonts w:ascii="Times New Roman" w:hAnsi="Times New Roman" w:cs="Times New Roman"/>
          <w:iCs/>
          <w:sz w:val="20"/>
          <w:szCs w:val="20"/>
        </w:rPr>
        <w:t>.</w:t>
      </w:r>
    </w:p>
    <w:p w14:paraId="15B4B2E9" w14:textId="77777777" w:rsidR="00EA567C" w:rsidRDefault="00786B2D">
      <w:pPr>
        <w:pStyle w:val="a9"/>
        <w:numPr>
          <w:ilvl w:val="0"/>
          <w:numId w:val="6"/>
        </w:numPr>
        <w:ind w:left="360"/>
        <w:contextualSpacing w:val="0"/>
        <w:jc w:val="both"/>
        <w:rPr>
          <w:color w:val="A6A6A6" w:themeColor="background1" w:themeShade="A6"/>
        </w:rPr>
      </w:pPr>
      <w:bookmarkStart w:id="12" w:name="_Ref74084190"/>
      <w:r>
        <w:rPr>
          <w:color w:val="A6A6A6" w:themeColor="background1" w:themeShade="A6"/>
        </w:rPr>
        <w:t xml:space="preserve">How to address the scenario when switching from SDT to RRC_CONECTED during an ongoing SDT session where the UE context was </w:t>
      </w:r>
      <w:r>
        <w:rPr>
          <w:color w:val="A6A6A6" w:themeColor="background1" w:themeShade="A6"/>
          <w:u w:val="single"/>
        </w:rPr>
        <w:t>not</w:t>
      </w:r>
      <w:r>
        <w:rPr>
          <w:color w:val="A6A6A6" w:themeColor="background1" w:themeShade="A6"/>
        </w:rPr>
        <w:t xml:space="preserve"> relocated by the network. Including </w:t>
      </w:r>
      <w:bookmarkEnd w:id="12"/>
      <w:r>
        <w:rPr>
          <w:color w:val="A6A6A6" w:themeColor="background1" w:themeShade="A6"/>
        </w:rPr>
        <w:t xml:space="preserve">questions Q1-Q4 for above option 1.b).  </w:t>
      </w:r>
    </w:p>
    <w:p w14:paraId="15B4B2EA" w14:textId="77777777" w:rsidR="00EA567C" w:rsidRDefault="00786B2D">
      <w:pPr>
        <w:pStyle w:val="4"/>
        <w:rPr>
          <w:color w:val="0000CC"/>
        </w:rPr>
      </w:pPr>
      <w:bookmarkStart w:id="13" w:name="_Ref75009864"/>
      <w:r>
        <w:rPr>
          <w:color w:val="0000CC"/>
          <w:lang w:val="en-US"/>
        </w:rPr>
        <w:t>O</w:t>
      </w:r>
      <w:r>
        <w:rPr>
          <w:color w:val="0000CC"/>
        </w:rPr>
        <w:t>ption 1.a)</w:t>
      </w:r>
      <w:r>
        <w:rPr>
          <w:color w:val="0000CC"/>
          <w:lang w:val="en-US"/>
        </w:rPr>
        <w:t xml:space="preserve"> Network releases the UE back into RRC_INACTIVE when anchor relocation is required in the middle of an SDT session</w:t>
      </w:r>
    </w:p>
    <w:p w14:paraId="15B4B2EB" w14:textId="77777777" w:rsidR="00EA567C" w:rsidRDefault="00786B2D">
      <w:pPr>
        <w:pStyle w:val="5"/>
        <w:rPr>
          <w:b/>
          <w:color w:val="0000CC"/>
        </w:rPr>
      </w:pPr>
      <w:r>
        <w:rPr>
          <w:b/>
          <w:color w:val="0000CC"/>
        </w:rPr>
        <w:fldChar w:fldCharType="begin"/>
      </w:r>
      <w:r>
        <w:rPr>
          <w:b/>
          <w:color w:val="0000CC"/>
        </w:rPr>
        <w:instrText xml:space="preserve"> REF _Ref75089376 \r \h  \* MERGEFORMAT </w:instrText>
      </w:r>
      <w:r>
        <w:rPr>
          <w:b/>
          <w:color w:val="0000CC"/>
        </w:rPr>
      </w:r>
      <w:r>
        <w:rPr>
          <w:b/>
          <w:color w:val="0000CC"/>
        </w:rPr>
        <w:fldChar w:fldCharType="separate"/>
      </w:r>
      <w:r>
        <w:rPr>
          <w:b/>
          <w:color w:val="0000CC"/>
        </w:rPr>
        <w:t>Q.1)</w:t>
      </w:r>
      <w:r>
        <w:rPr>
          <w:b/>
          <w:color w:val="0000CC"/>
        </w:rPr>
        <w:fldChar w:fldCharType="end"/>
      </w:r>
      <w:r>
        <w:rPr>
          <w:b/>
          <w:color w:val="0000CC"/>
        </w:rPr>
        <w:t xml:space="preserve"> for 2</w:t>
      </w:r>
      <w:r>
        <w:rPr>
          <w:b/>
          <w:color w:val="0000CC"/>
          <w:vertAlign w:val="superscript"/>
        </w:rPr>
        <w:t>nd</w:t>
      </w:r>
      <w:r>
        <w:rPr>
          <w:b/>
          <w:color w:val="0000CC"/>
        </w:rPr>
        <w:t xml:space="preserve"> Phase</w:t>
      </w:r>
    </w:p>
    <w:p w14:paraId="15B4B2EC"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_Ref75089376 \r \h  \* MERGEFORMAT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Q.1)</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 and the responses provided during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15B4B2ED" w14:textId="77777777" w:rsidR="00EA567C" w:rsidRDefault="00786B2D">
      <w:pPr>
        <w:spacing w:after="120" w:line="257" w:lineRule="auto"/>
        <w:jc w:val="both"/>
        <w:rPr>
          <w:iCs/>
          <w:color w:val="0000CC"/>
        </w:rPr>
      </w:pPr>
      <w:r>
        <w:rPr>
          <w:rFonts w:ascii="Times New Roman" w:hAnsi="Times New Roman" w:cs="Times New Roman"/>
          <w:iCs/>
          <w:color w:val="0000CC"/>
          <w:sz w:val="20"/>
          <w:szCs w:val="20"/>
        </w:rPr>
        <w:t>It is pointed during the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 that in normal RRC release procedure, PDCP suspend operation will be performed and all the data buffered on UE side will be discarded. On other hand, when PDCP is suspended, the PDCP PDUs are discarded, but not PDCP SDUs.</w:t>
      </w:r>
    </w:p>
    <w:p w14:paraId="15B4B2EE" w14:textId="77777777" w:rsidR="00EA567C" w:rsidRDefault="00786B2D">
      <w:pPr>
        <w:pStyle w:val="a9"/>
        <w:numPr>
          <w:ilvl w:val="0"/>
          <w:numId w:val="30"/>
        </w:numPr>
        <w:spacing w:after="120"/>
        <w:jc w:val="both"/>
        <w:rPr>
          <w:color w:val="0000CC"/>
        </w:rPr>
      </w:pPr>
      <w:bookmarkStart w:id="14" w:name="_Ref75089376"/>
      <w:r>
        <w:rPr>
          <w:color w:val="0000CC"/>
        </w:rPr>
        <w:t xml:space="preserve">For </w:t>
      </w:r>
      <w:r>
        <w:rPr>
          <w:b/>
          <w:bCs/>
          <w:color w:val="0000CC"/>
        </w:rPr>
        <w:t>previous option 1.a)</w:t>
      </w:r>
      <w:r>
        <w:rPr>
          <w:color w:val="0000CC"/>
        </w:rPr>
        <w:t>, is there any mechanism needed to prevent data loss in case UE is moved back to INACTIVE state?</w:t>
      </w:r>
      <w:bookmarkEnd w:id="14"/>
      <w:r>
        <w:rPr>
          <w:color w:val="0000CC"/>
        </w:rPr>
        <w:t xml:space="preserve"> </w:t>
      </w:r>
    </w:p>
    <w:tbl>
      <w:tblPr>
        <w:tblStyle w:val="ab"/>
        <w:tblW w:w="0" w:type="auto"/>
        <w:tblLook w:val="04A0" w:firstRow="1" w:lastRow="0" w:firstColumn="1" w:lastColumn="0" w:noHBand="0" w:noVBand="1"/>
      </w:tblPr>
      <w:tblGrid>
        <w:gridCol w:w="1975"/>
        <w:gridCol w:w="1170"/>
        <w:gridCol w:w="6205"/>
      </w:tblGrid>
      <w:tr w:rsidR="00EA567C" w14:paraId="15B4B2F2" w14:textId="77777777">
        <w:tc>
          <w:tcPr>
            <w:tcW w:w="1975" w:type="dxa"/>
            <w:shd w:val="clear" w:color="auto" w:fill="BFBFBF" w:themeFill="background1" w:themeFillShade="BF"/>
          </w:tcPr>
          <w:p w14:paraId="15B4B2EF"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2F0" w14:textId="77777777" w:rsidR="00EA567C" w:rsidRDefault="00786B2D">
            <w:pPr>
              <w:spacing w:after="0"/>
              <w:jc w:val="center"/>
              <w:rPr>
                <w:b/>
                <w:bCs/>
              </w:rPr>
            </w:pPr>
            <w:r>
              <w:rPr>
                <w:b/>
                <w:bCs/>
              </w:rPr>
              <w:t>Yes/No</w:t>
            </w:r>
          </w:p>
        </w:tc>
        <w:tc>
          <w:tcPr>
            <w:tcW w:w="6205" w:type="dxa"/>
            <w:shd w:val="clear" w:color="auto" w:fill="BFBFBF" w:themeFill="background1" w:themeFillShade="BF"/>
          </w:tcPr>
          <w:p w14:paraId="15B4B2F1" w14:textId="77777777" w:rsidR="00EA567C" w:rsidRDefault="00786B2D">
            <w:pPr>
              <w:spacing w:after="0"/>
              <w:jc w:val="center"/>
              <w:rPr>
                <w:b/>
                <w:bCs/>
              </w:rPr>
            </w:pPr>
            <w:r>
              <w:rPr>
                <w:b/>
                <w:bCs/>
              </w:rPr>
              <w:t>Justification</w:t>
            </w:r>
          </w:p>
        </w:tc>
      </w:tr>
      <w:tr w:rsidR="00EA567C" w14:paraId="15B4B2F6" w14:textId="77777777">
        <w:tc>
          <w:tcPr>
            <w:tcW w:w="1975" w:type="dxa"/>
          </w:tcPr>
          <w:p w14:paraId="15B4B2F3" w14:textId="77777777" w:rsidR="00EA567C" w:rsidRDefault="00786B2D">
            <w:pPr>
              <w:spacing w:after="0"/>
            </w:pPr>
            <w:r>
              <w:t>Huawei, HiSilicon</w:t>
            </w:r>
          </w:p>
        </w:tc>
        <w:tc>
          <w:tcPr>
            <w:tcW w:w="1170" w:type="dxa"/>
          </w:tcPr>
          <w:p w14:paraId="15B4B2F4" w14:textId="77777777" w:rsidR="00EA567C" w:rsidRDefault="00786B2D">
            <w:pPr>
              <w:spacing w:after="0"/>
            </w:pPr>
            <w:r>
              <w:t>No</w:t>
            </w:r>
          </w:p>
        </w:tc>
        <w:tc>
          <w:tcPr>
            <w:tcW w:w="6205" w:type="dxa"/>
          </w:tcPr>
          <w:p w14:paraId="15B4B2F5" w14:textId="77777777" w:rsidR="00EA567C" w:rsidRDefault="00786B2D">
            <w:pPr>
              <w:spacing w:after="0"/>
            </w:pPr>
            <w:r>
              <w:t>As mentioned above, PDCP SDUs are not discarded when the UE moves to RRC INACTIVE, so they can still be transmitted. This is also the whole point of a proposal to keep the UE in RRC INACTIVE after cell reselection during SDT for example.</w:t>
            </w:r>
          </w:p>
        </w:tc>
      </w:tr>
      <w:tr w:rsidR="00EA567C" w14:paraId="15B4B306" w14:textId="77777777">
        <w:trPr>
          <w:trHeight w:val="43"/>
        </w:trPr>
        <w:tc>
          <w:tcPr>
            <w:tcW w:w="1975" w:type="dxa"/>
          </w:tcPr>
          <w:p w14:paraId="15B4B2F7" w14:textId="77777777" w:rsidR="00EA567C" w:rsidRDefault="00786B2D">
            <w:pPr>
              <w:spacing w:after="0"/>
            </w:pPr>
            <w:r>
              <w:t>ZTE</w:t>
            </w:r>
          </w:p>
        </w:tc>
        <w:tc>
          <w:tcPr>
            <w:tcW w:w="1170" w:type="dxa"/>
          </w:tcPr>
          <w:p w14:paraId="15B4B2F8" w14:textId="77777777" w:rsidR="00EA567C" w:rsidRDefault="00786B2D">
            <w:pPr>
              <w:spacing w:after="0"/>
            </w:pPr>
            <w:r>
              <w:t xml:space="preserve">Yes with comments </w:t>
            </w:r>
          </w:p>
        </w:tc>
        <w:tc>
          <w:tcPr>
            <w:tcW w:w="6205" w:type="dxa"/>
          </w:tcPr>
          <w:p w14:paraId="15B4B2F9" w14:textId="77777777" w:rsidR="00EA567C" w:rsidRDefault="00786B2D">
            <w:pPr>
              <w:spacing w:after="0"/>
            </w:pPr>
            <w:r>
              <w:t xml:space="preserve">It is true that PDCP SDUs are not discarded, however, it should be noted that PDCP suspend will be performed when RRCRelease is received and PDCP suspend will result in the following actions: </w:t>
            </w:r>
          </w:p>
          <w:p w14:paraId="15B4B2FA" w14:textId="77777777" w:rsidR="00EA567C" w:rsidRDefault="00786B2D">
            <w:pPr>
              <w:pStyle w:val="a9"/>
              <w:numPr>
                <w:ilvl w:val="0"/>
                <w:numId w:val="24"/>
              </w:numPr>
              <w:spacing w:after="0"/>
            </w:pPr>
            <w:r>
              <w:t>Transmitter sets the TX_NEXT to initial value and discards all the stored PDCP PDUs</w:t>
            </w:r>
          </w:p>
          <w:p w14:paraId="15B4B2FB" w14:textId="77777777" w:rsidR="00EA567C" w:rsidRDefault="00786B2D">
            <w:pPr>
              <w:pStyle w:val="a9"/>
              <w:numPr>
                <w:ilvl w:val="0"/>
                <w:numId w:val="24"/>
              </w:numPr>
              <w:spacing w:after="0"/>
            </w:pPr>
            <w:r>
              <w:t>Receiver will stop reordering and deliver the PDCP SDUs to upper layers in ascending order of COUNT</w:t>
            </w:r>
          </w:p>
          <w:p w14:paraId="15B4B2FC" w14:textId="77777777" w:rsidR="00EA567C" w:rsidRDefault="00786B2D">
            <w:pPr>
              <w:spacing w:after="0"/>
            </w:pPr>
            <w:r>
              <w:lastRenderedPageBreak/>
              <w:t xml:space="preserve">Since the PDCP entity will restart with initial COUNT value at next RRCResume, there will be two issues: </w:t>
            </w:r>
          </w:p>
          <w:p w14:paraId="15B4B2FD" w14:textId="77777777" w:rsidR="00EA567C" w:rsidRDefault="00786B2D">
            <w:pPr>
              <w:pStyle w:val="a9"/>
              <w:numPr>
                <w:ilvl w:val="0"/>
                <w:numId w:val="24"/>
              </w:numPr>
              <w:spacing w:after="0"/>
            </w:pPr>
            <w:r>
              <w:t xml:space="preserve"> redundancy cannot be avoided and </w:t>
            </w:r>
          </w:p>
          <w:p w14:paraId="15B4B2FE" w14:textId="77777777" w:rsidR="00EA567C" w:rsidRDefault="00786B2D">
            <w:pPr>
              <w:pStyle w:val="a9"/>
              <w:numPr>
                <w:ilvl w:val="0"/>
                <w:numId w:val="24"/>
              </w:numPr>
              <w:spacing w:after="0"/>
            </w:pPr>
            <w:r>
              <w:t xml:space="preserve">in order delivery of  PDCP PDUs cannot be ensured in this case </w:t>
            </w:r>
          </w:p>
          <w:p w14:paraId="15B4B2FF" w14:textId="77777777" w:rsidR="00EA567C" w:rsidRDefault="00786B2D">
            <w:pPr>
              <w:spacing w:after="0"/>
            </w:pPr>
            <w:r>
              <w:t xml:space="preserve">It should be noted that lossless delivery as agreed in RAN2, requires also the in order delivery  of PDCP SDUs to upper layers. </w:t>
            </w:r>
          </w:p>
          <w:p w14:paraId="15B4B300" w14:textId="77777777" w:rsidR="00EA567C" w:rsidRDefault="00EA567C">
            <w:pPr>
              <w:spacing w:after="0"/>
            </w:pPr>
          </w:p>
          <w:p w14:paraId="15B4B301" w14:textId="77777777" w:rsidR="00EA567C" w:rsidRDefault="00786B2D">
            <w:pPr>
              <w:spacing w:after="0"/>
            </w:pPr>
            <w:r>
              <w:t xml:space="preserve">So, the question is whether we should ensure inorder delivery without redundancy in this case. So, there are two options:  </w:t>
            </w:r>
          </w:p>
          <w:p w14:paraId="15B4B302" w14:textId="77777777" w:rsidR="00EA567C" w:rsidRDefault="00786B2D">
            <w:pPr>
              <w:pStyle w:val="a9"/>
              <w:numPr>
                <w:ilvl w:val="0"/>
                <w:numId w:val="24"/>
              </w:numPr>
              <w:spacing w:after="0"/>
            </w:pPr>
            <w:r>
              <w:rPr>
                <w:b/>
                <w:bCs/>
                <w:u w:val="single"/>
              </w:rPr>
              <w:t>Option 1: If we want to ensure in-order delivery and avoid the redundancy</w:t>
            </w:r>
            <w:r>
              <w:t>, then the PDCP suspend operation should not be performed in this case and this may require some changes (e.g. to indicate “</w:t>
            </w:r>
            <w:r>
              <w:rPr>
                <w:i/>
                <w:iCs/>
              </w:rPr>
              <w:t>no PDCP suspend</w:t>
            </w:r>
            <w:r>
              <w:t xml:space="preserve">” in RRCRelease and to indicate the same on the transmitter side to the transmitting UP entity – e.g. over E1 interface). </w:t>
            </w:r>
          </w:p>
          <w:p w14:paraId="15B4B303" w14:textId="77777777" w:rsidR="00EA567C" w:rsidRDefault="00786B2D">
            <w:pPr>
              <w:pStyle w:val="a9"/>
              <w:numPr>
                <w:ilvl w:val="0"/>
                <w:numId w:val="24"/>
              </w:numPr>
              <w:spacing w:after="0"/>
            </w:pPr>
            <w:r>
              <w:rPr>
                <w:b/>
                <w:bCs/>
                <w:u w:val="single"/>
              </w:rPr>
              <w:t>Option 2: If we can live with redundancy and no in-order delivery</w:t>
            </w:r>
            <w:r>
              <w:rPr>
                <w:u w:val="single"/>
              </w:rPr>
              <w:t xml:space="preserve">, </w:t>
            </w:r>
            <w:r>
              <w:t xml:space="preserve">then nothing more needs to be done. </w:t>
            </w:r>
          </w:p>
          <w:p w14:paraId="15B4B304" w14:textId="77777777" w:rsidR="00EA567C" w:rsidRDefault="00EA567C">
            <w:pPr>
              <w:pStyle w:val="a9"/>
              <w:spacing w:after="0"/>
            </w:pPr>
          </w:p>
          <w:p w14:paraId="15B4B305" w14:textId="77777777" w:rsidR="00EA567C" w:rsidRDefault="00786B2D">
            <w:pPr>
              <w:spacing w:after="0"/>
            </w:pPr>
            <w:r>
              <w:t>From our perspective, we prefer option 1 to ensure the in order delivery and avoid the redundancy.</w:t>
            </w:r>
          </w:p>
        </w:tc>
      </w:tr>
      <w:tr w:rsidR="00EA567C" w14:paraId="15B4B30A" w14:textId="77777777">
        <w:tc>
          <w:tcPr>
            <w:tcW w:w="1975" w:type="dxa"/>
          </w:tcPr>
          <w:p w14:paraId="15B4B307" w14:textId="77777777" w:rsidR="00EA567C" w:rsidRDefault="00786B2D">
            <w:pPr>
              <w:spacing w:after="0"/>
            </w:pPr>
            <w:r>
              <w:lastRenderedPageBreak/>
              <w:t>InterDigital</w:t>
            </w:r>
          </w:p>
        </w:tc>
        <w:tc>
          <w:tcPr>
            <w:tcW w:w="1170" w:type="dxa"/>
          </w:tcPr>
          <w:p w14:paraId="15B4B308" w14:textId="77777777" w:rsidR="00EA567C" w:rsidRDefault="00786B2D">
            <w:pPr>
              <w:spacing w:after="0"/>
            </w:pPr>
            <w:r>
              <w:t>No</w:t>
            </w:r>
          </w:p>
        </w:tc>
        <w:tc>
          <w:tcPr>
            <w:tcW w:w="6205" w:type="dxa"/>
          </w:tcPr>
          <w:p w14:paraId="15B4B309" w14:textId="77777777" w:rsidR="00EA567C" w:rsidRDefault="00786B2D">
            <w:pPr>
              <w:spacing w:after="0"/>
            </w:pPr>
            <w:r>
              <w:t>If we go for option 1.a, then the existing mechanism should be reused as much as possible. Even if PDCP PDUs are thrown away, the PDCP SDUs can be retained and so lossless operation can be achieved based on the PDCP SDUs rather than PDUs.</w:t>
            </w:r>
          </w:p>
        </w:tc>
      </w:tr>
      <w:tr w:rsidR="00EA567C" w14:paraId="15B4B30E" w14:textId="77777777">
        <w:tc>
          <w:tcPr>
            <w:tcW w:w="1975" w:type="dxa"/>
          </w:tcPr>
          <w:p w14:paraId="15B4B30B" w14:textId="77777777" w:rsidR="00EA567C" w:rsidRDefault="00786B2D">
            <w:pPr>
              <w:spacing w:after="0"/>
            </w:pPr>
            <w:r>
              <w:t>CATT</w:t>
            </w:r>
          </w:p>
        </w:tc>
        <w:tc>
          <w:tcPr>
            <w:tcW w:w="1170" w:type="dxa"/>
          </w:tcPr>
          <w:p w14:paraId="15B4B30C" w14:textId="77777777" w:rsidR="00EA567C" w:rsidRDefault="00786B2D">
            <w:pPr>
              <w:spacing w:after="0"/>
            </w:pPr>
            <w:r>
              <w:t>No</w:t>
            </w:r>
          </w:p>
        </w:tc>
        <w:tc>
          <w:tcPr>
            <w:tcW w:w="6205" w:type="dxa"/>
          </w:tcPr>
          <w:p w14:paraId="15B4B30D" w14:textId="77777777" w:rsidR="00EA567C" w:rsidRDefault="00786B2D">
            <w:pPr>
              <w:spacing w:after="0"/>
            </w:pPr>
            <w:r>
              <w:t>As PDCP PDUs are discarded but PDCP SDUs are kept when the UE moves to RRC_INACTIVE, data loss can be avoided. However, that may create some redundancy in PDCP PDUs, as some correctly receive PDUs may be re-transmitted.</w:t>
            </w:r>
          </w:p>
        </w:tc>
      </w:tr>
      <w:tr w:rsidR="00EA567C" w14:paraId="15B4B312" w14:textId="77777777">
        <w:tc>
          <w:tcPr>
            <w:tcW w:w="1975" w:type="dxa"/>
          </w:tcPr>
          <w:p w14:paraId="15B4B30F" w14:textId="77777777" w:rsidR="00EA567C" w:rsidRDefault="00786B2D">
            <w:pPr>
              <w:spacing w:after="0"/>
            </w:pPr>
            <w:r>
              <w:rPr>
                <w:rFonts w:eastAsiaTheme="minorEastAsia" w:hint="eastAsia"/>
              </w:rPr>
              <w:t>Samsung</w:t>
            </w:r>
          </w:p>
        </w:tc>
        <w:tc>
          <w:tcPr>
            <w:tcW w:w="1170" w:type="dxa"/>
          </w:tcPr>
          <w:p w14:paraId="15B4B310" w14:textId="77777777" w:rsidR="00EA567C" w:rsidRDefault="00786B2D">
            <w:pPr>
              <w:spacing w:after="0"/>
            </w:pPr>
            <w:r>
              <w:rPr>
                <w:rFonts w:eastAsiaTheme="minorEastAsia" w:hint="eastAsia"/>
              </w:rPr>
              <w:t>No</w:t>
            </w:r>
          </w:p>
        </w:tc>
        <w:tc>
          <w:tcPr>
            <w:tcW w:w="6205" w:type="dxa"/>
          </w:tcPr>
          <w:p w14:paraId="15B4B311" w14:textId="77777777" w:rsidR="00EA567C" w:rsidRDefault="00786B2D">
            <w:pPr>
              <w:spacing w:after="0"/>
            </w:pPr>
            <w:r>
              <w:rPr>
                <w:rFonts w:eastAsiaTheme="minorEastAsia" w:hint="eastAsia"/>
              </w:rPr>
              <w:t>Prefer to use existing mechanism</w:t>
            </w:r>
            <w:r>
              <w:rPr>
                <w:rFonts w:eastAsiaTheme="minorEastAsia"/>
              </w:rPr>
              <w:t>. Also agree with Huawei and interdigital, that "</w:t>
            </w:r>
            <w:r>
              <w:t>Even if PDCP PDUs are thrown away, the PDCP SDUs can be retained and so lossless operation can be achieved based on the PDCP SDUs rather than PDUs"</w:t>
            </w:r>
          </w:p>
        </w:tc>
      </w:tr>
      <w:tr w:rsidR="00EA567C" w14:paraId="15B4B316" w14:textId="77777777">
        <w:tc>
          <w:tcPr>
            <w:tcW w:w="1975" w:type="dxa"/>
          </w:tcPr>
          <w:p w14:paraId="15B4B313" w14:textId="77777777" w:rsidR="00EA567C" w:rsidRDefault="00786B2D">
            <w:pPr>
              <w:spacing w:after="0"/>
              <w:rPr>
                <w:rFonts w:eastAsiaTheme="minorEastAsia"/>
              </w:rPr>
            </w:pPr>
            <w:r>
              <w:rPr>
                <w:rFonts w:eastAsiaTheme="minorEastAsia" w:hint="eastAsia"/>
              </w:rPr>
              <w:t>Fujitsu</w:t>
            </w:r>
          </w:p>
        </w:tc>
        <w:tc>
          <w:tcPr>
            <w:tcW w:w="1170" w:type="dxa"/>
          </w:tcPr>
          <w:p w14:paraId="15B4B314" w14:textId="77777777" w:rsidR="00EA567C" w:rsidRDefault="00786B2D">
            <w:pPr>
              <w:spacing w:after="0"/>
              <w:rPr>
                <w:rFonts w:eastAsiaTheme="minorEastAsia"/>
              </w:rPr>
            </w:pPr>
            <w:r>
              <w:rPr>
                <w:rFonts w:eastAsiaTheme="minorEastAsia" w:hint="eastAsia"/>
              </w:rPr>
              <w:t>No</w:t>
            </w:r>
          </w:p>
        </w:tc>
        <w:tc>
          <w:tcPr>
            <w:tcW w:w="6205" w:type="dxa"/>
          </w:tcPr>
          <w:p w14:paraId="15B4B315" w14:textId="77777777" w:rsidR="00EA567C" w:rsidRDefault="00786B2D">
            <w:pPr>
              <w:spacing w:after="0"/>
              <w:rPr>
                <w:rFonts w:eastAsiaTheme="minorEastAsia"/>
              </w:rPr>
            </w:pPr>
            <w:r>
              <w:rPr>
                <w:rFonts w:eastAsiaTheme="minorEastAsia" w:hint="eastAsia"/>
              </w:rPr>
              <w:t xml:space="preserve">As long as PDCP SDUs are retained, </w:t>
            </w:r>
            <w:r>
              <w:rPr>
                <w:rFonts w:eastAsiaTheme="minorEastAsia"/>
              </w:rPr>
              <w:t>lossless</w:t>
            </w:r>
            <w:r>
              <w:rPr>
                <w:rFonts w:eastAsiaTheme="minorEastAsia" w:hint="eastAsia"/>
              </w:rPr>
              <w:t xml:space="preserve"> </w:t>
            </w:r>
            <w:r>
              <w:rPr>
                <w:rFonts w:eastAsiaTheme="minorEastAsia"/>
              </w:rPr>
              <w:t>and in-order delivery based on PDCP SDU can be achieved. NW can achieve it by careful scheduling based on PDCP SDU. For example, it can be achieved in such a way that PDCP SDUs are delivered by FIFO manner. Redundant transmission may cause resource waste, but it is not big problem.</w:t>
            </w:r>
          </w:p>
        </w:tc>
      </w:tr>
      <w:tr w:rsidR="00EA567C" w14:paraId="15B4B31B" w14:textId="77777777">
        <w:tc>
          <w:tcPr>
            <w:tcW w:w="1975" w:type="dxa"/>
          </w:tcPr>
          <w:p w14:paraId="15B4B317" w14:textId="77777777" w:rsidR="00EA567C" w:rsidRDefault="00786B2D">
            <w:pPr>
              <w:spacing w:after="0"/>
            </w:pPr>
            <w:r>
              <w:rPr>
                <w:rFonts w:eastAsia="Malgun Gothic" w:hint="eastAsia"/>
                <w:lang w:eastAsia="ko-KR"/>
              </w:rPr>
              <w:t>LG</w:t>
            </w:r>
          </w:p>
        </w:tc>
        <w:tc>
          <w:tcPr>
            <w:tcW w:w="1170" w:type="dxa"/>
          </w:tcPr>
          <w:p w14:paraId="15B4B318" w14:textId="77777777" w:rsidR="00EA567C" w:rsidRDefault="00786B2D">
            <w:pPr>
              <w:spacing w:after="0"/>
              <w:rPr>
                <w:rFonts w:eastAsia="Malgun Gothic"/>
                <w:lang w:eastAsia="ko-KR"/>
              </w:rPr>
            </w:pPr>
            <w:r>
              <w:rPr>
                <w:rFonts w:eastAsia="Malgun Gothic" w:hint="eastAsia"/>
                <w:lang w:eastAsia="ko-KR"/>
              </w:rPr>
              <w:t>No</w:t>
            </w:r>
          </w:p>
        </w:tc>
        <w:tc>
          <w:tcPr>
            <w:tcW w:w="6205" w:type="dxa"/>
          </w:tcPr>
          <w:p w14:paraId="15B4B319" w14:textId="77777777" w:rsidR="00EA567C" w:rsidRDefault="00786B2D">
            <w:pPr>
              <w:spacing w:after="0"/>
              <w:rPr>
                <w:rFonts w:eastAsia="Malgun Gothic"/>
                <w:lang w:eastAsia="ko-KR"/>
              </w:rPr>
            </w:pPr>
            <w:r>
              <w:rPr>
                <w:rFonts w:eastAsia="Malgun Gothic"/>
                <w:lang w:eastAsia="ko-KR"/>
              </w:rPr>
              <w:t xml:space="preserve">For AM DRBs, data is not lost because unacknowledged PDCP SDUs are not discarded at PDCP suspend. Only PDCP PDUs are discarded. </w:t>
            </w:r>
          </w:p>
          <w:p w14:paraId="15B4B31A" w14:textId="77777777" w:rsidR="00EA567C" w:rsidRDefault="00786B2D">
            <w:pPr>
              <w:spacing w:after="0"/>
            </w:pPr>
            <w:r>
              <w:rPr>
                <w:rFonts w:eastAsia="Malgun Gothic"/>
                <w:lang w:eastAsia="ko-KR"/>
              </w:rPr>
              <w:t>For UM DRBs, we don’t need to care about data loss because UM DRB is anyway subject to loss.</w:t>
            </w:r>
          </w:p>
        </w:tc>
      </w:tr>
      <w:tr w:rsidR="00CF7EA7" w14:paraId="4BA5D934" w14:textId="77777777">
        <w:tc>
          <w:tcPr>
            <w:tcW w:w="1975" w:type="dxa"/>
          </w:tcPr>
          <w:p w14:paraId="368CDDD6" w14:textId="15544B17" w:rsidR="00CF7EA7" w:rsidRDefault="00CF7EA7">
            <w:pPr>
              <w:spacing w:after="0"/>
              <w:rPr>
                <w:rFonts w:eastAsia="Malgun Gothic"/>
                <w:lang w:eastAsia="ko-KR"/>
              </w:rPr>
            </w:pPr>
            <w:r>
              <w:rPr>
                <w:rFonts w:eastAsia="Malgun Gothic"/>
                <w:lang w:eastAsia="ko-KR"/>
              </w:rPr>
              <w:t>Intel</w:t>
            </w:r>
          </w:p>
        </w:tc>
        <w:tc>
          <w:tcPr>
            <w:tcW w:w="1170" w:type="dxa"/>
          </w:tcPr>
          <w:p w14:paraId="5527303C" w14:textId="04564B3C" w:rsidR="00CF7EA7" w:rsidRDefault="00CF7EA7">
            <w:pPr>
              <w:spacing w:after="0"/>
              <w:rPr>
                <w:rFonts w:eastAsia="Malgun Gothic"/>
                <w:lang w:eastAsia="ko-KR"/>
              </w:rPr>
            </w:pPr>
            <w:r>
              <w:rPr>
                <w:rFonts w:eastAsia="Malgun Gothic"/>
                <w:lang w:eastAsia="ko-KR"/>
              </w:rPr>
              <w:t>May be</w:t>
            </w:r>
          </w:p>
        </w:tc>
        <w:tc>
          <w:tcPr>
            <w:tcW w:w="6205" w:type="dxa"/>
          </w:tcPr>
          <w:p w14:paraId="1DF14E8A" w14:textId="77777777" w:rsidR="00D52839" w:rsidRDefault="00D52839" w:rsidP="00D52839">
            <w:pPr>
              <w:spacing w:after="0"/>
              <w:rPr>
                <w:lang w:val="en-US"/>
              </w:rPr>
            </w:pPr>
            <w:r>
              <w:t xml:space="preserve">This option 1.a) may have challenges to prevent data loss or duplication of data: </w:t>
            </w:r>
          </w:p>
          <w:p w14:paraId="4D5ED820" w14:textId="77777777" w:rsidR="00D52839" w:rsidRDefault="00D52839" w:rsidP="00D52839">
            <w:pPr>
              <w:pStyle w:val="a9"/>
              <w:numPr>
                <w:ilvl w:val="0"/>
                <w:numId w:val="55"/>
              </w:numPr>
              <w:spacing w:after="0"/>
            </w:pPr>
            <w:r>
              <w:t>For data loss: UL data can be kept as PDCP SDUs are not discarded as explained above. However, recovery of DL data waiting to be sent in serving cell might be more complex to handle in the anchored scenario as that DL data might be in previous serving gNB when the 2</w:t>
            </w:r>
            <w:r>
              <w:rPr>
                <w:vertAlign w:val="superscript"/>
              </w:rPr>
              <w:t>nd</w:t>
            </w:r>
            <w:r>
              <w:t xml:space="preserve"> resume is directed to the anchor gNB. If no special mechanism is defined, some DL/UL data may be lost unless UE and network enable its own recovery mechanism. </w:t>
            </w:r>
          </w:p>
          <w:p w14:paraId="4A963537" w14:textId="77777777" w:rsidR="00D52839" w:rsidRDefault="00D52839" w:rsidP="00D52839">
            <w:pPr>
              <w:pStyle w:val="a9"/>
              <w:numPr>
                <w:ilvl w:val="0"/>
                <w:numId w:val="55"/>
              </w:numPr>
              <w:spacing w:after="0"/>
            </w:pPr>
            <w:r>
              <w:t xml:space="preserve">For data duplication: we also agree with ZTE’s comment that duplication can happen and would not be detected.  </w:t>
            </w:r>
          </w:p>
          <w:p w14:paraId="7F8466E7" w14:textId="77777777" w:rsidR="00D52839" w:rsidRDefault="00D52839" w:rsidP="00D52839">
            <w:pPr>
              <w:spacing w:after="0"/>
            </w:pPr>
          </w:p>
          <w:p w14:paraId="156CA9A7" w14:textId="77777777" w:rsidR="00D52839" w:rsidRDefault="00D52839" w:rsidP="00D52839">
            <w:pPr>
              <w:spacing w:after="0"/>
            </w:pPr>
            <w:r>
              <w:t xml:space="preserve">On summary, if this option 1.a) is preferable, i.e. moving the UE back into INACTIVE (via </w:t>
            </w:r>
            <w:r>
              <w:rPr>
                <w:i/>
                <w:iCs/>
              </w:rPr>
              <w:t>RRCRelease</w:t>
            </w:r>
            <w:r>
              <w:t xml:space="preserve"> including </w:t>
            </w:r>
            <w:r>
              <w:rPr>
                <w:i/>
                <w:iCs/>
              </w:rPr>
              <w:t>suspendConfig</w:t>
            </w:r>
            <w:r>
              <w:t>). Two possible approaches are possible:</w:t>
            </w:r>
          </w:p>
          <w:p w14:paraId="04B5175B" w14:textId="77777777" w:rsidR="00D52839" w:rsidRDefault="00D52839" w:rsidP="00D52839">
            <w:pPr>
              <w:pStyle w:val="a9"/>
              <w:numPr>
                <w:ilvl w:val="0"/>
                <w:numId w:val="55"/>
              </w:numPr>
              <w:spacing w:after="0"/>
            </w:pPr>
            <w:r>
              <w:t>Approach A) Specification does not define how/whether UE or network prevents data loss or duplication. This approach A) allows to enable enhancements to minimize (or even prevent) data loss or duplication but details would be left up to good UE or network implementation</w:t>
            </w:r>
          </w:p>
          <w:p w14:paraId="324DAD90" w14:textId="77777777" w:rsidR="00D52839" w:rsidRDefault="00D52839" w:rsidP="00D52839">
            <w:pPr>
              <w:pStyle w:val="a9"/>
              <w:numPr>
                <w:ilvl w:val="0"/>
                <w:numId w:val="55"/>
              </w:numPr>
              <w:spacing w:after="0"/>
            </w:pPr>
            <w:r>
              <w:t>Approach B) an additional enhancement could be defined to keep  UP on UE and network side (in order to continue with SDT traffic w/o duplication). However, this new handling would bring additional complexity as two different scenarios would be possible when UE starts from INACTIVE, case 1) for normal resume (where PDCP is suspended) and case 2) for SDT when it was temporarily stopped (in order to handle the relocation of the UE Context when an SDT session was ongoing. If so, for case 1) PDCP is suspended and for case 2) without PDCP suspension.  If there is sufficient support for this enhancement, we are open to consider it.</w:t>
            </w:r>
          </w:p>
          <w:p w14:paraId="69084D4B" w14:textId="77777777" w:rsidR="00D52839" w:rsidRDefault="00D52839" w:rsidP="00D52839">
            <w:pPr>
              <w:spacing w:after="0"/>
            </w:pPr>
            <w:r>
              <w:t>Our preference is to enable option 1.a) via approach A) i.e. leaving optimizations up to UE or network implementation to prevent data loss or duplication in DL and UL.</w:t>
            </w:r>
          </w:p>
          <w:p w14:paraId="5B72514D" w14:textId="77777777" w:rsidR="00CF7EA7" w:rsidRDefault="00CF7EA7">
            <w:pPr>
              <w:spacing w:after="0"/>
              <w:rPr>
                <w:rFonts w:eastAsia="Malgun Gothic"/>
                <w:lang w:eastAsia="ko-KR"/>
              </w:rPr>
            </w:pPr>
          </w:p>
        </w:tc>
      </w:tr>
      <w:tr w:rsidR="00D56910" w14:paraId="77E93392" w14:textId="77777777">
        <w:tc>
          <w:tcPr>
            <w:tcW w:w="1975" w:type="dxa"/>
          </w:tcPr>
          <w:p w14:paraId="19FB4EE8" w14:textId="3DF4AFA3" w:rsidR="00D56910" w:rsidRPr="00D56910" w:rsidRDefault="00D56910" w:rsidP="00D56910">
            <w:pPr>
              <w:spacing w:after="0"/>
              <w:rPr>
                <w:rFonts w:eastAsia="Malgun Gothic"/>
                <w:lang w:eastAsia="ko-KR"/>
              </w:rPr>
            </w:pPr>
            <w:r>
              <w:lastRenderedPageBreak/>
              <w:t>NEC</w:t>
            </w:r>
          </w:p>
        </w:tc>
        <w:tc>
          <w:tcPr>
            <w:tcW w:w="1170" w:type="dxa"/>
          </w:tcPr>
          <w:p w14:paraId="590ED925" w14:textId="6F02C512" w:rsidR="00D56910" w:rsidRDefault="00D56910" w:rsidP="00D56910">
            <w:pPr>
              <w:spacing w:after="0"/>
              <w:rPr>
                <w:rFonts w:eastAsia="Malgun Gothic"/>
                <w:lang w:eastAsia="ko-KR"/>
              </w:rPr>
            </w:pPr>
            <w:r>
              <w:rPr>
                <w:lang w:eastAsia="zh-CN"/>
              </w:rPr>
              <w:t>Maybe</w:t>
            </w:r>
          </w:p>
        </w:tc>
        <w:tc>
          <w:tcPr>
            <w:tcW w:w="6205" w:type="dxa"/>
          </w:tcPr>
          <w:p w14:paraId="584F40F8" w14:textId="77777777" w:rsidR="00D56910" w:rsidRDefault="00D56910" w:rsidP="00D56910">
            <w:pPr>
              <w:spacing w:after="0"/>
              <w:rPr>
                <w:lang w:eastAsia="zh-CN"/>
              </w:rPr>
            </w:pPr>
            <w:r>
              <w:rPr>
                <w:rFonts w:hint="eastAsia"/>
                <w:lang w:eastAsia="zh-CN"/>
              </w:rPr>
              <w:t>F</w:t>
            </w:r>
            <w:r>
              <w:rPr>
                <w:lang w:eastAsia="zh-CN"/>
              </w:rPr>
              <w:t xml:space="preserve">or SDT DRB, as only PDCP PDUs are discarded, and PDCP SDUs can still be transmitted later. </w:t>
            </w:r>
          </w:p>
          <w:p w14:paraId="29AD497E" w14:textId="737C46A1" w:rsidR="00D56910" w:rsidRDefault="00D56910" w:rsidP="00D56910">
            <w:pPr>
              <w:spacing w:after="0"/>
            </w:pPr>
            <w:r>
              <w:rPr>
                <w:lang w:eastAsia="zh-CN"/>
              </w:rPr>
              <w:t xml:space="preserve">But for SDT SRB, both PDCP PDUs and SDUs are discarded during the PDCP re-establishment in the subsequent RRC resume procedure, which results in RAN level data loss. But such data loss may be tolerable or can be solved by implementation, for example the network release the UE to INACTIVE when the BSR shows no further data to be transmitted </w:t>
            </w:r>
          </w:p>
        </w:tc>
      </w:tr>
    </w:tbl>
    <w:p w14:paraId="15B4B31C" w14:textId="77777777" w:rsidR="00EA567C" w:rsidRDefault="00EA567C">
      <w:pPr>
        <w:jc w:val="both"/>
      </w:pPr>
    </w:p>
    <w:p w14:paraId="15B4B31D" w14:textId="77777777" w:rsidR="00EA567C" w:rsidRDefault="00786B2D">
      <w:pPr>
        <w:pStyle w:val="4"/>
        <w:rPr>
          <w:color w:val="0000CC"/>
        </w:rPr>
      </w:pPr>
      <w:r>
        <w:rPr>
          <w:color w:val="0000CC"/>
          <w:lang w:val="en-US"/>
        </w:rPr>
        <w:t>O</w:t>
      </w:r>
      <w:r>
        <w:rPr>
          <w:color w:val="0000CC"/>
        </w:rPr>
        <w:t>ption 1.</w:t>
      </w:r>
      <w:r>
        <w:rPr>
          <w:color w:val="0000CC"/>
          <w:lang w:val="en-US"/>
        </w:rPr>
        <w:t>b</w:t>
      </w:r>
      <w:r>
        <w:rPr>
          <w:color w:val="0000CC"/>
        </w:rPr>
        <w:t>)</w:t>
      </w:r>
      <w:r>
        <w:rPr>
          <w:color w:val="0000CC"/>
          <w:lang w:val="en-US"/>
        </w:rPr>
        <w:t xml:space="preserve"> New mechanism that allow performing anchor relocation in the middle of an SDT session in order to switch from SDT to CONNECTED</w:t>
      </w:r>
    </w:p>
    <w:p w14:paraId="10D05055" w14:textId="36DE8905" w:rsidR="00D52839" w:rsidRPr="00D52839" w:rsidRDefault="00D52839" w:rsidP="00D52839">
      <w:pPr>
        <w:rPr>
          <w:ins w:id="15" w:author="Intel" w:date="2021-07-20T21:58:00Z"/>
          <w:rFonts w:ascii="Times New Roman" w:hAnsi="Times New Roman" w:cs="Times New Roman"/>
          <w:color w:val="FF0000"/>
          <w:sz w:val="20"/>
          <w:szCs w:val="20"/>
          <w:lang w:val="x-none" w:eastAsia="x-none"/>
        </w:rPr>
      </w:pPr>
      <w:bookmarkStart w:id="16" w:name="_Ref75087660"/>
      <w:ins w:id="17" w:author="Intel" w:date="2021-07-20T21:58:00Z">
        <w:r>
          <w:rPr>
            <w:rFonts w:ascii="Times New Roman" w:hAnsi="Times New Roman" w:cs="Times New Roman"/>
            <w:b/>
            <w:bCs/>
            <w:color w:val="FF0000"/>
            <w:sz w:val="20"/>
            <w:szCs w:val="20"/>
          </w:rPr>
          <w:t>[</w:t>
        </w:r>
        <w:r>
          <w:rPr>
            <w:rFonts w:ascii="Times New Roman" w:hAnsi="Times New Roman" w:cs="Times New Roman"/>
            <w:b/>
            <w:bCs/>
            <w:color w:val="FF0000"/>
            <w:sz w:val="20"/>
            <w:szCs w:val="20"/>
            <w:highlight w:val="yellow"/>
          </w:rPr>
          <w:t>07/20</w:t>
        </w:r>
        <w:r>
          <w:rPr>
            <w:rFonts w:ascii="Times New Roman" w:hAnsi="Times New Roman" w:cs="Times New Roman"/>
            <w:b/>
            <w:bCs/>
            <w:color w:val="FF0000"/>
            <w:sz w:val="20"/>
            <w:szCs w:val="20"/>
          </w:rPr>
          <w:t xml:space="preserve">][Rapporteur’s input] </w:t>
        </w:r>
        <w:r>
          <w:rPr>
            <w:rFonts w:ascii="Times New Roman" w:hAnsi="Times New Roman" w:cs="Times New Roman"/>
            <w:color w:val="FF0000"/>
            <w:sz w:val="20"/>
            <w:szCs w:val="20"/>
          </w:rPr>
          <w:t>During 2</w:t>
        </w:r>
        <w:r>
          <w:rPr>
            <w:rFonts w:ascii="Times New Roman" w:hAnsi="Times New Roman" w:cs="Times New Roman"/>
            <w:color w:val="FF0000"/>
            <w:sz w:val="20"/>
            <w:szCs w:val="20"/>
            <w:vertAlign w:val="superscript"/>
          </w:rPr>
          <w:t>nd</w:t>
        </w:r>
        <w:r>
          <w:rPr>
            <w:rFonts w:ascii="Times New Roman" w:hAnsi="Times New Roman" w:cs="Times New Roman"/>
            <w:color w:val="FF0000"/>
            <w:sz w:val="20"/>
            <w:szCs w:val="20"/>
          </w:rPr>
          <w:t xml:space="preserve"> phase, the details and questions added in this section 2.1.1.2 aims to clarify how option 1.b) works i.e. it does not aim to down-select (which would be discussed in 3</w:t>
        </w:r>
        <w:r>
          <w:rPr>
            <w:rFonts w:ascii="Times New Roman" w:hAnsi="Times New Roman" w:cs="Times New Roman"/>
            <w:color w:val="FF0000"/>
            <w:sz w:val="20"/>
            <w:szCs w:val="20"/>
            <w:vertAlign w:val="superscript"/>
          </w:rPr>
          <w:t>rd</w:t>
        </w:r>
        <w:r>
          <w:rPr>
            <w:rFonts w:ascii="Times New Roman" w:hAnsi="Times New Roman" w:cs="Times New Roman"/>
            <w:color w:val="FF0000"/>
            <w:sz w:val="20"/>
            <w:szCs w:val="20"/>
          </w:rPr>
          <w:t xml:space="preserve"> phase) </w:t>
        </w:r>
      </w:ins>
      <w:ins w:id="18" w:author="Intel" w:date="2021-07-20T22:00:00Z">
        <w:r w:rsidR="00CF726A">
          <w:rPr>
            <w:rFonts w:ascii="Times New Roman" w:hAnsi="Times New Roman" w:cs="Times New Roman"/>
            <w:color w:val="FF0000"/>
            <w:sz w:val="20"/>
            <w:szCs w:val="20"/>
          </w:rPr>
          <w:t>n</w:t>
        </w:r>
      </w:ins>
      <w:ins w:id="19" w:author="Intel" w:date="2021-07-20T21:58:00Z">
        <w:r>
          <w:rPr>
            <w:rFonts w:ascii="Times New Roman" w:hAnsi="Times New Roman" w:cs="Times New Roman"/>
            <w:color w:val="FF0000"/>
            <w:sz w:val="20"/>
            <w:szCs w:val="20"/>
          </w:rPr>
          <w:t xml:space="preserve">or </w:t>
        </w:r>
      </w:ins>
      <w:ins w:id="20" w:author="Intel" w:date="2021-07-20T22:00:00Z">
        <w:r w:rsidR="00CF726A">
          <w:rPr>
            <w:rFonts w:ascii="Times New Roman" w:hAnsi="Times New Roman" w:cs="Times New Roman"/>
            <w:color w:val="FF0000"/>
            <w:sz w:val="20"/>
            <w:szCs w:val="20"/>
          </w:rPr>
          <w:t>to</w:t>
        </w:r>
      </w:ins>
      <w:ins w:id="21" w:author="Intel" w:date="2021-07-20T21:59:00Z">
        <w:r w:rsidR="008F6268">
          <w:rPr>
            <w:rFonts w:ascii="Times New Roman" w:hAnsi="Times New Roman" w:cs="Times New Roman"/>
            <w:color w:val="FF0000"/>
            <w:sz w:val="20"/>
            <w:szCs w:val="20"/>
          </w:rPr>
          <w:t xml:space="preserve"> </w:t>
        </w:r>
      </w:ins>
      <w:ins w:id="22" w:author="Intel" w:date="2021-07-20T21:58:00Z">
        <w:r>
          <w:rPr>
            <w:rFonts w:ascii="Times New Roman" w:hAnsi="Times New Roman" w:cs="Times New Roman"/>
            <w:color w:val="FF0000"/>
            <w:sz w:val="20"/>
            <w:szCs w:val="20"/>
          </w:rPr>
          <w:t>address details related to previous option 1.a) (which are covered in previous section 2.1.1.1).</w:t>
        </w:r>
      </w:ins>
    </w:p>
    <w:p w14:paraId="15B4B31E" w14:textId="749EF2AA"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section is updated based on the details provided above and by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_Ref74088741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[2]</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_Ref74088521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[6]</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_Ref74088756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[8]</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_Ref74088530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[19]</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w:t>
      </w:r>
    </w:p>
    <w:p w14:paraId="15B4B31F" w14:textId="77777777" w:rsidR="00EA567C" w:rsidRDefault="00786B2D">
      <w:pPr>
        <w:spacing w:after="120"/>
        <w:jc w:val="both"/>
        <w:rPr>
          <w:rFonts w:ascii="Times New Roman" w:hAnsi="Times New Roman" w:cs="Times New Roman"/>
          <w:color w:val="0000CC"/>
          <w:sz w:val="20"/>
          <w:szCs w:val="20"/>
        </w:rPr>
      </w:pPr>
      <w:r>
        <w:rPr>
          <w:rFonts w:ascii="Times New Roman" w:hAnsi="Times New Roman" w:cs="Times New Roman"/>
          <w:color w:val="0000CC"/>
          <w:sz w:val="20"/>
          <w:szCs w:val="20"/>
        </w:rPr>
        <w:t>For this discussion, the term “</w:t>
      </w:r>
      <w:r>
        <w:rPr>
          <w:rFonts w:ascii="Times New Roman" w:hAnsi="Times New Roman" w:cs="Times New Roman"/>
          <w:b/>
          <w:bCs/>
          <w:color w:val="0000CC"/>
          <w:sz w:val="20"/>
          <w:szCs w:val="20"/>
        </w:rPr>
        <w:t>anchor gNB</w:t>
      </w:r>
      <w:r>
        <w:rPr>
          <w:rFonts w:ascii="Times New Roman" w:hAnsi="Times New Roman" w:cs="Times New Roman"/>
          <w:color w:val="0000CC"/>
          <w:sz w:val="20"/>
          <w:szCs w:val="20"/>
        </w:rPr>
        <w:t>” refers to the gNB where the UE AS Context is stored before UE initiates the SDT session and “</w:t>
      </w:r>
      <w:r>
        <w:rPr>
          <w:rFonts w:ascii="Times New Roman" w:hAnsi="Times New Roman" w:cs="Times New Roman"/>
          <w:b/>
          <w:bCs/>
          <w:color w:val="0000CC"/>
          <w:sz w:val="20"/>
          <w:szCs w:val="20"/>
        </w:rPr>
        <w:t>serving gNB</w:t>
      </w:r>
      <w:r>
        <w:rPr>
          <w:rFonts w:ascii="Times New Roman" w:hAnsi="Times New Roman" w:cs="Times New Roman"/>
          <w:color w:val="0000CC"/>
          <w:sz w:val="20"/>
          <w:szCs w:val="20"/>
        </w:rPr>
        <w:t>” refers to the gNB where the UE initiates the SDT session.</w:t>
      </w:r>
    </w:p>
    <w:p w14:paraId="15B4B320" w14:textId="77777777" w:rsidR="00EA567C" w:rsidRDefault="00786B2D">
      <w:pPr>
        <w:spacing w:after="120"/>
        <w:jc w:val="both"/>
        <w:rPr>
          <w:color w:val="0000CC"/>
        </w:rPr>
      </w:pPr>
      <w:r>
        <w:rPr>
          <w:rFonts w:ascii="Times New Roman" w:hAnsi="Times New Roman" w:cs="Times New Roman"/>
          <w:color w:val="0000CC"/>
          <w:sz w:val="20"/>
          <w:szCs w:val="20"/>
        </w:rPr>
        <w:t xml:space="preserve">For </w:t>
      </w:r>
      <w:r>
        <w:rPr>
          <w:rFonts w:ascii="Times New Roman" w:hAnsi="Times New Roman" w:cs="Times New Roman"/>
          <w:b/>
          <w:bCs/>
          <w:color w:val="0000CC"/>
          <w:sz w:val="20"/>
          <w:szCs w:val="20"/>
        </w:rPr>
        <w:t>previous option 1.b)</w:t>
      </w:r>
      <w:r>
        <w:rPr>
          <w:rFonts w:ascii="Times New Roman" w:hAnsi="Times New Roman" w:cs="Times New Roman"/>
          <w:color w:val="0000CC"/>
          <w:sz w:val="20"/>
          <w:szCs w:val="20"/>
        </w:rPr>
        <w:t xml:space="preserve">, </w:t>
      </w:r>
      <w:bookmarkStart w:id="23" w:name="_Hlk75147615"/>
      <w:r>
        <w:rPr>
          <w:rFonts w:ascii="Times New Roman" w:hAnsi="Times New Roman" w:cs="Times New Roman"/>
          <w:color w:val="0000CC"/>
          <w:sz w:val="20"/>
          <w:szCs w:val="20"/>
        </w:rPr>
        <w:t xml:space="preserve">when switching from SDT to RRC_CONECTED during an ongoing SDT session where the UE context was </w:t>
      </w:r>
      <w:r>
        <w:rPr>
          <w:rFonts w:ascii="Times New Roman" w:hAnsi="Times New Roman" w:cs="Times New Roman"/>
          <w:color w:val="0000CC"/>
          <w:sz w:val="20"/>
          <w:szCs w:val="20"/>
          <w:u w:val="single"/>
        </w:rPr>
        <w:t>not</w:t>
      </w:r>
      <w:r>
        <w:rPr>
          <w:rFonts w:ascii="Times New Roman" w:hAnsi="Times New Roman" w:cs="Times New Roman"/>
          <w:color w:val="0000CC"/>
          <w:sz w:val="20"/>
          <w:szCs w:val="20"/>
        </w:rPr>
        <w:t xml:space="preserve"> relocated by the network</w:t>
      </w:r>
      <w:bookmarkEnd w:id="23"/>
      <w:r>
        <w:rPr>
          <w:rFonts w:ascii="Times New Roman" w:hAnsi="Times New Roman" w:cs="Times New Roman"/>
          <w:color w:val="0000CC"/>
          <w:sz w:val="20"/>
          <w:szCs w:val="20"/>
        </w:rPr>
        <w:t xml:space="preserve">, the following points are raised by companies: </w:t>
      </w:r>
    </w:p>
    <w:p w14:paraId="15B4B321" w14:textId="77777777" w:rsidR="00EA567C" w:rsidRDefault="00786B2D">
      <w:pPr>
        <w:pStyle w:val="a9"/>
        <w:numPr>
          <w:ilvl w:val="0"/>
          <w:numId w:val="40"/>
        </w:numPr>
        <w:spacing w:after="60"/>
        <w:contextualSpacing w:val="0"/>
        <w:rPr>
          <w:color w:val="0000CC"/>
        </w:rPr>
      </w:pPr>
      <w:r>
        <w:rPr>
          <w:color w:val="0000CC"/>
        </w:rPr>
        <w:t xml:space="preserve">RLC PDUs are received/processed by the serving gNB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14:paraId="15B4B322" w14:textId="77777777" w:rsidR="00EA567C" w:rsidRDefault="00786B2D">
      <w:pPr>
        <w:pStyle w:val="a9"/>
        <w:numPr>
          <w:ilvl w:val="0"/>
          <w:numId w:val="40"/>
        </w:numPr>
        <w:spacing w:after="60"/>
        <w:contextualSpacing w:val="0"/>
        <w:rPr>
          <w:color w:val="0000CC"/>
        </w:rPr>
      </w:pPr>
      <w:r>
        <w:rPr>
          <w:color w:val="0000CC"/>
        </w:rPr>
        <w:t xml:space="preserve">PDCP entities for SDT operation when anchor gNB is not relocated may be processed by anchor gNB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color w:val="0000CC"/>
        </w:rPr>
        <w:t xml:space="preserve">, or by serving gNB (as anchor gNB forwards them)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14:paraId="15B4B323" w14:textId="77777777" w:rsidR="00EA567C" w:rsidRDefault="00786B2D">
      <w:pPr>
        <w:pStyle w:val="a9"/>
        <w:numPr>
          <w:ilvl w:val="0"/>
          <w:numId w:val="40"/>
        </w:numPr>
        <w:spacing w:after="60"/>
        <w:contextualSpacing w:val="0"/>
        <w:jc w:val="both"/>
        <w:rPr>
          <w:color w:val="0000CC"/>
        </w:rPr>
      </w:pPr>
      <w:r>
        <w:rPr>
          <w:color w:val="0000CC"/>
        </w:rPr>
        <w:t>For the data awareness during SDT operation, t</w:t>
      </w:r>
      <w:r>
        <w:rPr>
          <w:rFonts w:eastAsiaTheme="minorEastAsia"/>
          <w:color w:val="0000CC"/>
          <w:lang w:eastAsia="zh-CN"/>
        </w:rPr>
        <w:t xml:space="preserve">he serving gNB is the first aware of the UL data (size and arrival) </w:t>
      </w:r>
      <w:r>
        <w:rPr>
          <w:color w:val="0000CC"/>
        </w:rPr>
        <w:fldChar w:fldCharType="begin"/>
      </w:r>
      <w:r>
        <w:rPr>
          <w:color w:val="0000CC"/>
        </w:rPr>
        <w:instrText xml:space="preserve"> REF _Ref74088741 \r \h  \* MERGEFORMAT </w:instrText>
      </w:r>
      <w:r>
        <w:rPr>
          <w:color w:val="0000CC"/>
        </w:rPr>
      </w:r>
      <w:r>
        <w:rPr>
          <w:color w:val="0000CC"/>
        </w:rPr>
        <w:fldChar w:fldCharType="separate"/>
      </w:r>
      <w:r>
        <w:rPr>
          <w:color w:val="0000CC"/>
        </w:rPr>
        <w:t>[2]</w:t>
      </w:r>
      <w:r>
        <w:rPr>
          <w:color w:val="0000CC"/>
        </w:rPr>
        <w:fldChar w:fldCharType="end"/>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rFonts w:eastAsiaTheme="minorEastAsia"/>
          <w:color w:val="0000CC"/>
          <w:lang w:eastAsia="zh-CN"/>
        </w:rPr>
        <w:t xml:space="preserve">, and the anchor gNB is the first aware of DL data arrival </w:t>
      </w:r>
      <w:r>
        <w:rPr>
          <w:color w:val="0000CC"/>
        </w:rPr>
        <w:fldChar w:fldCharType="begin"/>
      </w:r>
      <w:r>
        <w:rPr>
          <w:color w:val="0000CC"/>
        </w:rPr>
        <w:instrText xml:space="preserve"> REF _Ref74088741 \r \h  \* MERGEFORMAT </w:instrText>
      </w:r>
      <w:r>
        <w:rPr>
          <w:color w:val="0000CC"/>
        </w:rPr>
      </w:r>
      <w:r>
        <w:rPr>
          <w:color w:val="0000CC"/>
        </w:rPr>
        <w:fldChar w:fldCharType="separate"/>
      </w:r>
      <w:r>
        <w:rPr>
          <w:color w:val="0000CC"/>
        </w:rPr>
        <w:t>[2]</w:t>
      </w:r>
      <w:r>
        <w:rPr>
          <w:color w:val="0000CC"/>
        </w:rPr>
        <w:fldChar w:fldCharType="end"/>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rFonts w:eastAsiaTheme="minorEastAsia"/>
          <w:color w:val="0000CC"/>
          <w:lang w:eastAsia="zh-CN"/>
        </w:rPr>
        <w:t xml:space="preserve">. </w:t>
      </w:r>
    </w:p>
    <w:p w14:paraId="15B4B324" w14:textId="77777777" w:rsidR="00EA567C" w:rsidRDefault="00786B2D">
      <w:pPr>
        <w:pStyle w:val="a5"/>
        <w:numPr>
          <w:ilvl w:val="0"/>
          <w:numId w:val="40"/>
        </w:numPr>
        <w:spacing w:after="60"/>
        <w:rPr>
          <w:color w:val="0000CC"/>
        </w:rPr>
      </w:pPr>
      <w:r>
        <w:rPr>
          <w:rFonts w:eastAsiaTheme="minorEastAsia"/>
          <w:color w:val="0000CC"/>
          <w:lang w:eastAsia="zh-CN"/>
        </w:rPr>
        <w:lastRenderedPageBreak/>
        <w:t xml:space="preserve">The serving gNB controls SDT operations related to the radio interface, such as, performs the data transmission/reception via radio interface, or set the </w:t>
      </w:r>
      <w:r>
        <w:rPr>
          <w:color w:val="0000CC"/>
        </w:rPr>
        <w:t xml:space="preserve">content of </w:t>
      </w:r>
      <w:r>
        <w:rPr>
          <w:i/>
          <w:color w:val="0000CC"/>
        </w:rPr>
        <w:t>RRCResume</w:t>
      </w:r>
      <w:r>
        <w:rPr>
          <w:color w:val="0000CC"/>
        </w:rPr>
        <w:t xml:space="preserve"> message related to configurations of radio interface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color w:val="0000CC"/>
        </w:rPr>
        <w:t>.</w:t>
      </w:r>
    </w:p>
    <w:p w14:paraId="15B4B325" w14:textId="77777777" w:rsidR="00EA567C" w:rsidRDefault="00786B2D">
      <w:pPr>
        <w:pStyle w:val="a5"/>
        <w:numPr>
          <w:ilvl w:val="0"/>
          <w:numId w:val="40"/>
        </w:numPr>
        <w:spacing w:after="60"/>
        <w:rPr>
          <w:color w:val="0000CC"/>
        </w:rPr>
      </w:pPr>
      <w:r>
        <w:rPr>
          <w:color w:val="0000CC"/>
        </w:rPr>
        <w:t xml:space="preserve">Security key in used in relation to this “late” anchor relocation: </w:t>
      </w:r>
    </w:p>
    <w:p w14:paraId="15B4B326" w14:textId="77777777" w:rsidR="00EA567C" w:rsidRDefault="00786B2D">
      <w:pPr>
        <w:pStyle w:val="a5"/>
        <w:numPr>
          <w:ilvl w:val="1"/>
          <w:numId w:val="41"/>
        </w:numPr>
        <w:spacing w:after="60"/>
        <w:jc w:val="both"/>
        <w:rPr>
          <w:color w:val="0000CC"/>
        </w:rPr>
      </w:pPr>
      <w:r>
        <w:rPr>
          <w:color w:val="0000CC"/>
        </w:rPr>
        <w:t xml:space="preserve">During an ongoing SDT session where the UE context was </w:t>
      </w:r>
      <w:r>
        <w:rPr>
          <w:color w:val="0000CC"/>
          <w:u w:val="single"/>
        </w:rPr>
        <w:t>not</w:t>
      </w:r>
      <w:r>
        <w:rPr>
          <w:color w:val="0000CC"/>
        </w:rPr>
        <w:t xml:space="preserve"> relocated by the network, the data forwarding between serving gNB and anchor gNB has already been started, and the new security key, derived based on the NCC stored, has already been used by anchor gNB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 Therefore UE uses the updated security key (i.e. K</w:t>
      </w:r>
      <w:r>
        <w:rPr>
          <w:color w:val="0000CC"/>
          <w:vertAlign w:val="subscript"/>
        </w:rPr>
        <w:t>gNB</w:t>
      </w:r>
      <w:r>
        <w:rPr>
          <w:color w:val="0000CC"/>
        </w:rPr>
        <w:t xml:space="preserve"> associated with the serving gNB, referred as K</w:t>
      </w:r>
      <w:r>
        <w:rPr>
          <w:color w:val="0000CC"/>
          <w:vertAlign w:val="subscript"/>
        </w:rPr>
        <w:t>serving-gNB</w:t>
      </w:r>
      <w:r>
        <w:rPr>
          <w:color w:val="0000CC"/>
        </w:rPr>
        <w:t>) which is updated upon initiation of 1</w:t>
      </w:r>
      <w:r>
        <w:rPr>
          <w:color w:val="0000CC"/>
          <w:vertAlign w:val="superscript"/>
        </w:rPr>
        <w:t>st</w:t>
      </w:r>
      <w:r>
        <w:rPr>
          <w:color w:val="0000CC"/>
        </w:rPr>
        <w:t xml:space="preserve"> </w:t>
      </w:r>
      <w:r>
        <w:rPr>
          <w:i/>
          <w:iCs/>
          <w:color w:val="0000CC"/>
        </w:rPr>
        <w:t>RRCResumeRequest</w:t>
      </w:r>
      <w:r>
        <w:rPr>
          <w:color w:val="0000CC"/>
        </w:rPr>
        <w:t xml:space="preserve"> message, to receive any DL data/signalling upon initiating the SDT operation (which includes </w:t>
      </w:r>
      <w:r>
        <w:rPr>
          <w:i/>
          <w:iCs/>
          <w:color w:val="0000CC"/>
        </w:rPr>
        <w:t>RRCResume</w:t>
      </w:r>
      <w:r>
        <w:rPr>
          <w:color w:val="0000CC"/>
        </w:rPr>
        <w:t xml:space="preserve"> message)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color w:val="0000CC"/>
        </w:rPr>
        <w:t xml:space="preserve">. Therefore, ciphering and integrity protection for </w:t>
      </w:r>
      <w:r>
        <w:rPr>
          <w:i/>
          <w:iCs/>
          <w:color w:val="0000CC"/>
        </w:rPr>
        <w:t>RRCResume</w:t>
      </w:r>
      <w:r>
        <w:rPr>
          <w:color w:val="0000CC"/>
        </w:rPr>
        <w:t xml:space="preserve"> message should be performed based on that same K</w:t>
      </w:r>
      <w:r>
        <w:rPr>
          <w:color w:val="0000CC"/>
          <w:vertAlign w:val="subscript"/>
        </w:rPr>
        <w:t>serving-gNB</w:t>
      </w:r>
      <w:r>
        <w:rPr>
          <w:color w:val="0000CC"/>
        </w:rPr>
        <w:t xml:space="preserve">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color w:val="0000CC"/>
        </w:rPr>
        <w:t>.</w:t>
      </w:r>
    </w:p>
    <w:p w14:paraId="15B4B327" w14:textId="77777777" w:rsidR="00EA567C" w:rsidRDefault="00786B2D">
      <w:pPr>
        <w:pStyle w:val="a5"/>
        <w:numPr>
          <w:ilvl w:val="1"/>
          <w:numId w:val="41"/>
        </w:numPr>
        <w:spacing w:after="60"/>
        <w:jc w:val="both"/>
        <w:rPr>
          <w:color w:val="0000CC"/>
        </w:rPr>
      </w:pPr>
      <w:r>
        <w:rPr>
          <w:color w:val="0000CC"/>
        </w:rPr>
        <w:t xml:space="preserve">Based on the SA3 requirement, re-using the same key in two nodes is not allowed.  Hence the change of anchor requires a change of security keys </w:t>
      </w:r>
      <w:r>
        <w:rPr>
          <w:color w:val="0000CC"/>
        </w:rPr>
        <w:fldChar w:fldCharType="begin"/>
      </w:r>
      <w:r>
        <w:rPr>
          <w:color w:val="0000CC"/>
        </w:rPr>
        <w:instrText xml:space="preserve"> REF _Ref74088521 \r \h  \* MERGEFORMAT </w:instrText>
      </w:r>
      <w:r>
        <w:rPr>
          <w:color w:val="0000CC"/>
        </w:rPr>
      </w:r>
      <w:r>
        <w:rPr>
          <w:color w:val="0000CC"/>
        </w:rPr>
        <w:fldChar w:fldCharType="separate"/>
      </w:r>
      <w:r>
        <w:rPr>
          <w:color w:val="0000CC"/>
        </w:rPr>
        <w:t>[6]</w:t>
      </w:r>
      <w:r>
        <w:rPr>
          <w:color w:val="0000CC"/>
        </w:rPr>
        <w:fldChar w:fldCharType="end"/>
      </w:r>
      <w:r>
        <w:rPr>
          <w:color w:val="0000CC"/>
        </w:rPr>
        <w:t xml:space="preserve">. Therefore once the security key has already been used in the anchor gNB (during SDT operation without anchor relocation), the same security key shall not be used in the serving gNB again after anchor relocation is performed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14:paraId="15B4B328" w14:textId="77777777" w:rsidR="00EA567C" w:rsidRDefault="00786B2D">
      <w:pPr>
        <w:pStyle w:val="a5"/>
        <w:numPr>
          <w:ilvl w:val="1"/>
          <w:numId w:val="41"/>
        </w:numPr>
        <w:spacing w:after="60"/>
        <w:jc w:val="both"/>
        <w:rPr>
          <w:color w:val="0000CC"/>
        </w:rPr>
      </w:pPr>
      <w:r>
        <w:rPr>
          <w:color w:val="0000CC"/>
        </w:rPr>
        <w:t xml:space="preserve">On summary, a new key (other than the key used in the data transmission before anchor relocation) shall be generated and used between serving gNB and UE after anchor relocation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14:paraId="15B4B329" w14:textId="77777777" w:rsidR="00EA567C" w:rsidRDefault="00786B2D">
      <w:pPr>
        <w:pStyle w:val="a5"/>
        <w:numPr>
          <w:ilvl w:val="2"/>
          <w:numId w:val="42"/>
        </w:numPr>
        <w:spacing w:after="60"/>
        <w:jc w:val="both"/>
        <w:rPr>
          <w:color w:val="0000CC"/>
        </w:rPr>
      </w:pPr>
      <w:r>
        <w:rPr>
          <w:color w:val="0000CC"/>
        </w:rPr>
        <w:t xml:space="preserve">The materials for key generation (e.g. AS-SecurityInformation in XnAP, including KgNB* and NCC) should be generated by anchor gNB, and be sent from anchor gNB to serving gNB (e.g. in RetrieveUEContextRequest or a later message)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14:paraId="15B4B32A" w14:textId="77777777" w:rsidR="00EA567C" w:rsidRDefault="00786B2D">
      <w:pPr>
        <w:pStyle w:val="a5"/>
        <w:numPr>
          <w:ilvl w:val="2"/>
          <w:numId w:val="42"/>
        </w:numPr>
        <w:spacing w:after="60"/>
        <w:jc w:val="both"/>
        <w:rPr>
          <w:color w:val="0000CC"/>
        </w:rPr>
      </w:pPr>
      <w:r>
        <w:rPr>
          <w:color w:val="0000CC"/>
        </w:rPr>
        <w:t xml:space="preserve">The key materials (i.e. </w:t>
      </w:r>
      <w:r>
        <w:rPr>
          <w:i/>
          <w:iCs/>
          <w:color w:val="0000CC"/>
        </w:rPr>
        <w:t>MasterKeyUpdate</w:t>
      </w:r>
      <w:r>
        <w:rPr>
          <w:color w:val="0000CC"/>
        </w:rPr>
        <w:t xml:space="preserve"> and </w:t>
      </w:r>
      <w:r>
        <w:rPr>
          <w:i/>
          <w:iCs/>
          <w:color w:val="0000CC"/>
        </w:rPr>
        <w:t>SecurityConfig</w:t>
      </w:r>
      <w:r>
        <w:rPr>
          <w:color w:val="0000CC"/>
        </w:rPr>
        <w:t xml:space="preserve">) should be sent to UE through a RRC message (e.g. </w:t>
      </w:r>
      <w:r>
        <w:rPr>
          <w:i/>
          <w:iCs/>
          <w:color w:val="0000CC"/>
        </w:rPr>
        <w:t>RRCResume</w:t>
      </w:r>
      <w:r>
        <w:rPr>
          <w:color w:val="0000CC"/>
        </w:rPr>
        <w:t xml:space="preserve">) generated by serving gNB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 xml:space="preserve">. This RRC message should be security protected by the SRB PDCP located in anchor node (i.e. the RRC message (e.g. </w:t>
      </w:r>
      <w:r>
        <w:rPr>
          <w:i/>
          <w:iCs/>
          <w:color w:val="0000CC"/>
        </w:rPr>
        <w:t>RRCResume</w:t>
      </w:r>
      <w:r>
        <w:rPr>
          <w:color w:val="0000CC"/>
        </w:rPr>
        <w:t xml:space="preserve">) generated by serving gNB should be sent to anchor node for security protection operation)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14:paraId="15B4B32B" w14:textId="77777777" w:rsidR="00EA567C" w:rsidRDefault="00786B2D">
      <w:pPr>
        <w:pStyle w:val="a5"/>
        <w:numPr>
          <w:ilvl w:val="2"/>
          <w:numId w:val="42"/>
        </w:numPr>
        <w:spacing w:after="60"/>
        <w:jc w:val="both"/>
        <w:rPr>
          <w:color w:val="0000CC"/>
        </w:rPr>
      </w:pPr>
      <w:r>
        <w:rPr>
          <w:color w:val="0000CC"/>
        </w:rPr>
        <w:t xml:space="preserve">The UE shall be configured to CONNECTED mode in the RRC message and reconfiguration with sync shall be used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14:paraId="15B4B32C" w14:textId="77777777" w:rsidR="00EA567C" w:rsidRDefault="00786B2D">
      <w:pPr>
        <w:pStyle w:val="a5"/>
        <w:numPr>
          <w:ilvl w:val="1"/>
          <w:numId w:val="41"/>
        </w:numPr>
        <w:spacing w:after="60"/>
        <w:jc w:val="both"/>
        <w:rPr>
          <w:color w:val="0000CC"/>
        </w:rPr>
      </w:pPr>
      <w:r>
        <w:rPr>
          <w:color w:val="0000CC"/>
        </w:rPr>
        <w:t xml:space="preserve">On other hand, a change of keys requires the L2 to be reset to prevent mix up of data with the old and new keys. Currently, a change of keys is done either when the user plane is suspended/not established (re-establishment, SMC, Resume) or using a RACH procedure+L2 reset as the switch over point if there is ongoing data transfer (handover). A release and add of the RLC bearer could also be used to flush the L2. Additionally, PDCP has to be re-established.  However, none of the existing NR procedures support this particular behaviour. </w:t>
      </w:r>
      <w:r>
        <w:rPr>
          <w:color w:val="0000CC"/>
        </w:rPr>
        <w:fldChar w:fldCharType="begin"/>
      </w:r>
      <w:r>
        <w:rPr>
          <w:color w:val="0000CC"/>
        </w:rPr>
        <w:instrText xml:space="preserve"> REF _Ref74088521 \r \h  \* MERGEFORMAT </w:instrText>
      </w:r>
      <w:r>
        <w:rPr>
          <w:color w:val="0000CC"/>
        </w:rPr>
      </w:r>
      <w:r>
        <w:rPr>
          <w:color w:val="0000CC"/>
        </w:rPr>
        <w:fldChar w:fldCharType="separate"/>
      </w:r>
      <w:r>
        <w:rPr>
          <w:color w:val="0000CC"/>
        </w:rPr>
        <w:t>[6]</w:t>
      </w:r>
      <w:r>
        <w:rPr>
          <w:color w:val="0000CC"/>
        </w:rPr>
        <w:fldChar w:fldCharType="end"/>
      </w:r>
    </w:p>
    <w:p w14:paraId="15B4B32D" w14:textId="77777777" w:rsidR="00EA567C" w:rsidRDefault="00786B2D">
      <w:pPr>
        <w:pStyle w:val="a5"/>
        <w:numPr>
          <w:ilvl w:val="1"/>
          <w:numId w:val="41"/>
        </w:numPr>
        <w:spacing w:after="60"/>
        <w:jc w:val="both"/>
        <w:rPr>
          <w:color w:val="0000CC"/>
        </w:rPr>
      </w:pPr>
      <w:r>
        <w:rPr>
          <w:iCs/>
          <w:color w:val="0000CC"/>
        </w:rPr>
        <w:t xml:space="preserve">On summary, the support of key change when switching from SDT to CONNECTED may involve: providing new NCC to the UE, suspend data transfer, resetting L2, re-establish PDCP, ensuring identification of data with the old key and new key on the network side, Resume data transfer </w:t>
      </w:r>
      <w:r>
        <w:rPr>
          <w:color w:val="0000CC"/>
        </w:rPr>
        <w:fldChar w:fldCharType="begin"/>
      </w:r>
      <w:r>
        <w:rPr>
          <w:color w:val="0000CC"/>
        </w:rPr>
        <w:instrText xml:space="preserve"> REF _Ref74088521 \r \h  \* MERGEFORMAT </w:instrText>
      </w:r>
      <w:r>
        <w:rPr>
          <w:color w:val="0000CC"/>
        </w:rPr>
      </w:r>
      <w:r>
        <w:rPr>
          <w:color w:val="0000CC"/>
        </w:rPr>
        <w:fldChar w:fldCharType="separate"/>
      </w:r>
      <w:r>
        <w:rPr>
          <w:color w:val="0000CC"/>
        </w:rPr>
        <w:t>[6]</w:t>
      </w:r>
      <w:r>
        <w:rPr>
          <w:color w:val="0000CC"/>
        </w:rPr>
        <w:fldChar w:fldCharType="end"/>
      </w:r>
    </w:p>
    <w:p w14:paraId="15B4B32E" w14:textId="77777777" w:rsidR="00EA567C" w:rsidRDefault="00786B2D">
      <w:pPr>
        <w:pStyle w:val="a5"/>
        <w:numPr>
          <w:ilvl w:val="1"/>
          <w:numId w:val="41"/>
        </w:numPr>
        <w:spacing w:after="60"/>
        <w:jc w:val="both"/>
        <w:rPr>
          <w:color w:val="0000CC"/>
        </w:rPr>
      </w:pPr>
      <w:r>
        <w:rPr>
          <w:color w:val="0000CC"/>
        </w:rPr>
        <w:t xml:space="preserve">Therefore if this scenario is handled similarly to handover procedure </w:t>
      </w:r>
      <w:r>
        <w:rPr>
          <w:color w:val="0000CC"/>
        </w:rPr>
        <w:fldChar w:fldCharType="begin"/>
      </w:r>
      <w:r>
        <w:instrText xml:space="preserve"> REF _Ref74088756 \r \h  \* MERGEFORMAT </w:instrText>
      </w:r>
      <w:r>
        <w:rPr>
          <w:color w:val="0000CC"/>
        </w:rPr>
      </w:r>
      <w:r>
        <w:rPr>
          <w:color w:val="0000CC"/>
        </w:rPr>
        <w:fldChar w:fldCharType="separate"/>
      </w:r>
      <w:r>
        <w:t>[8]</w:t>
      </w:r>
      <w:r>
        <w:rPr>
          <w:color w:val="0000CC"/>
        </w:rPr>
        <w:fldChar w:fldCharType="end"/>
      </w:r>
      <w:r>
        <w:rPr>
          <w:color w:val="0000CC"/>
        </w:rPr>
        <w:t xml:space="preserve">, the UE sends </w:t>
      </w:r>
      <w:r>
        <w:rPr>
          <w:i/>
          <w:color w:val="0000CC"/>
        </w:rPr>
        <w:t>RRCResumeComplete</w:t>
      </w:r>
      <w:r>
        <w:rPr>
          <w:color w:val="0000CC"/>
        </w:rPr>
        <w:t xml:space="preserve"> message and subsequent UL/DL data is handled in the current serving gNB but different security keys are used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color w:val="0000CC"/>
        </w:rPr>
        <w:t>.</w:t>
      </w:r>
    </w:p>
    <w:p w14:paraId="15B4B32F" w14:textId="77777777" w:rsidR="00EA567C" w:rsidRDefault="00786B2D">
      <w:pPr>
        <w:pStyle w:val="a5"/>
        <w:numPr>
          <w:ilvl w:val="0"/>
          <w:numId w:val="40"/>
        </w:numPr>
        <w:spacing w:after="60"/>
        <w:jc w:val="both"/>
        <w:rPr>
          <w:color w:val="0000CC"/>
        </w:rPr>
      </w:pPr>
      <w:r>
        <w:rPr>
          <w:color w:val="0000CC"/>
        </w:rPr>
        <w:t xml:space="preserve">Potential issues with RAN3 impact foreseen for this scenario where SDT operation is done </w:t>
      </w:r>
      <w:r>
        <w:rPr>
          <w:color w:val="0000CC"/>
          <w:u w:val="single"/>
        </w:rPr>
        <w:t>without</w:t>
      </w:r>
      <w:r>
        <w:rPr>
          <w:color w:val="0000CC"/>
        </w:rPr>
        <w:t xml:space="preserve"> anchor relocation:</w:t>
      </w:r>
    </w:p>
    <w:p w14:paraId="15B4B330" w14:textId="77777777" w:rsidR="00EA567C" w:rsidRDefault="00786B2D">
      <w:pPr>
        <w:pStyle w:val="a5"/>
        <w:numPr>
          <w:ilvl w:val="1"/>
          <w:numId w:val="41"/>
        </w:numPr>
        <w:spacing w:after="60"/>
        <w:jc w:val="both"/>
        <w:rPr>
          <w:color w:val="0000CC"/>
        </w:rPr>
      </w:pPr>
      <w:r>
        <w:rPr>
          <w:color w:val="0000CC"/>
        </w:rPr>
        <w:t xml:space="preserve">Signaling exchange via Xn interface e.g. when deciding/triggering the transition from SDT to CONNECTED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color w:val="0000CC"/>
        </w:rPr>
        <w:t>.</w:t>
      </w:r>
    </w:p>
    <w:p w14:paraId="15B4B331" w14:textId="77777777" w:rsidR="00EA567C" w:rsidRDefault="00786B2D">
      <w:pPr>
        <w:pStyle w:val="a5"/>
        <w:numPr>
          <w:ilvl w:val="1"/>
          <w:numId w:val="41"/>
        </w:numPr>
        <w:spacing w:after="60"/>
        <w:jc w:val="both"/>
        <w:rPr>
          <w:color w:val="0000CC"/>
        </w:rPr>
      </w:pPr>
      <w:r>
        <w:rPr>
          <w:iCs/>
          <w:color w:val="0000CC"/>
        </w:rPr>
        <w:t xml:space="preserve">how the CU DU split is done when </w:t>
      </w:r>
      <w:r>
        <w:rPr>
          <w:color w:val="0000CC"/>
        </w:rPr>
        <w:t xml:space="preserve">switching from SDT to RRC_CONECTED during an ongoing SDT session where the UE context was </w:t>
      </w:r>
      <w:r>
        <w:rPr>
          <w:color w:val="0000CC"/>
          <w:u w:val="single"/>
        </w:rPr>
        <w:t>not</w:t>
      </w:r>
      <w:r>
        <w:rPr>
          <w:color w:val="0000CC"/>
        </w:rPr>
        <w:t xml:space="preserve"> relocated by the network </w:t>
      </w:r>
      <w:r>
        <w:rPr>
          <w:color w:val="0000CC"/>
        </w:rPr>
        <w:fldChar w:fldCharType="begin"/>
      </w:r>
      <w:r>
        <w:rPr>
          <w:color w:val="0000CC"/>
        </w:rPr>
        <w:instrText xml:space="preserve"> REF _Ref74088521 \r \h  \* MERGEFORMAT </w:instrText>
      </w:r>
      <w:r>
        <w:rPr>
          <w:color w:val="0000CC"/>
        </w:rPr>
      </w:r>
      <w:r>
        <w:rPr>
          <w:color w:val="0000CC"/>
        </w:rPr>
        <w:fldChar w:fldCharType="separate"/>
      </w:r>
      <w:r>
        <w:rPr>
          <w:color w:val="0000CC"/>
        </w:rPr>
        <w:t>[6]</w:t>
      </w:r>
      <w:r>
        <w:rPr>
          <w:color w:val="0000CC"/>
        </w:rPr>
        <w:fldChar w:fldCharType="end"/>
      </w:r>
    </w:p>
    <w:p w14:paraId="15B4B332" w14:textId="77777777" w:rsidR="00EA567C" w:rsidRDefault="00786B2D">
      <w:pPr>
        <w:pStyle w:val="a5"/>
        <w:numPr>
          <w:ilvl w:val="0"/>
          <w:numId w:val="40"/>
        </w:numPr>
        <w:spacing w:after="60"/>
        <w:jc w:val="both"/>
        <w:rPr>
          <w:color w:val="0000CC"/>
        </w:rPr>
      </w:pPr>
      <w:r>
        <w:rPr>
          <w:color w:val="0000CC"/>
        </w:rPr>
        <w:t xml:space="preserve">Potential issues with SA3 impact foreseen for this scenario where SDT operation is done </w:t>
      </w:r>
      <w:r>
        <w:rPr>
          <w:color w:val="0000CC"/>
          <w:u w:val="single"/>
        </w:rPr>
        <w:t>without</w:t>
      </w:r>
      <w:r>
        <w:rPr>
          <w:color w:val="0000CC"/>
        </w:rPr>
        <w:t xml:space="preserve"> anchor relocation:</w:t>
      </w:r>
    </w:p>
    <w:p w14:paraId="15B4B333" w14:textId="77777777" w:rsidR="00EA567C" w:rsidRDefault="00786B2D">
      <w:pPr>
        <w:pStyle w:val="a5"/>
        <w:numPr>
          <w:ilvl w:val="1"/>
          <w:numId w:val="41"/>
        </w:numPr>
        <w:spacing w:after="180"/>
        <w:jc w:val="both"/>
        <w:rPr>
          <w:color w:val="0000CC"/>
        </w:rPr>
      </w:pPr>
      <w:r>
        <w:rPr>
          <w:color w:val="0000CC"/>
        </w:rPr>
        <w:t xml:space="preserve">Whether update of the security key is required or not for this scenario and how to ensure security separation between two different gNBs after transaction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p>
    <w:p w14:paraId="15B4B334" w14:textId="77777777" w:rsidR="00EA567C" w:rsidRDefault="00786B2D">
      <w:pPr>
        <w:spacing w:after="120"/>
        <w:jc w:val="both"/>
        <w:rPr>
          <w:color w:val="0000CC"/>
        </w:rPr>
      </w:pPr>
      <w:r>
        <w:rPr>
          <w:rFonts w:ascii="Times New Roman" w:hAnsi="Times New Roman" w:cs="Times New Roman"/>
          <w:color w:val="0000CC"/>
          <w:sz w:val="20"/>
          <w:szCs w:val="20"/>
        </w:rPr>
        <w:t xml:space="preserve">The following questions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_Ref75148769 \r \h  \* MERGEFORMAT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Q.2)</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to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_Ref75224616 \r \h  \* MERGEFORMAT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Q.5)</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are suggested taken into consideration the points explained and asked above: </w:t>
      </w:r>
    </w:p>
    <w:p w14:paraId="15B4B335" w14:textId="77777777" w:rsidR="00EA567C" w:rsidRDefault="00786B2D">
      <w:pPr>
        <w:pStyle w:val="5"/>
        <w:rPr>
          <w:b/>
          <w:color w:val="0000CC"/>
        </w:rPr>
      </w:pPr>
      <w:r>
        <w:rPr>
          <w:b/>
          <w:bCs/>
          <w:color w:val="0000CC"/>
        </w:rPr>
        <w:lastRenderedPageBreak/>
        <w:fldChar w:fldCharType="begin"/>
      </w:r>
      <w:r>
        <w:rPr>
          <w:b/>
          <w:bCs/>
          <w:color w:val="0000CC"/>
        </w:rPr>
        <w:instrText xml:space="preserve"> REF _Ref75148769 \r \h  \* MERGEFORMAT </w:instrText>
      </w:r>
      <w:r>
        <w:rPr>
          <w:b/>
          <w:bCs/>
          <w:color w:val="0000CC"/>
        </w:rPr>
      </w:r>
      <w:r>
        <w:rPr>
          <w:b/>
          <w:bCs/>
          <w:color w:val="0000CC"/>
        </w:rPr>
        <w:fldChar w:fldCharType="separate"/>
      </w:r>
      <w:r>
        <w:rPr>
          <w:b/>
          <w:bCs/>
          <w:color w:val="0000CC"/>
        </w:rPr>
        <w:t>Q.2)</w:t>
      </w:r>
      <w:r>
        <w:rPr>
          <w:b/>
          <w:bCs/>
          <w:color w:val="0000CC"/>
        </w:rPr>
        <w:fldChar w:fldCharType="end"/>
      </w:r>
      <w:r>
        <w:rPr>
          <w:b/>
          <w:bCs/>
          <w:color w:val="0000CC"/>
          <w:lang w:val="en-US"/>
        </w:rPr>
        <w:t xml:space="preserve"> </w:t>
      </w:r>
      <w:r>
        <w:rPr>
          <w:b/>
          <w:bCs/>
          <w:color w:val="0000CC"/>
        </w:rPr>
        <w:t>for 2</w:t>
      </w:r>
      <w:r>
        <w:rPr>
          <w:b/>
          <w:bCs/>
          <w:color w:val="0000CC"/>
          <w:vertAlign w:val="superscript"/>
        </w:rPr>
        <w:t>nd</w:t>
      </w:r>
      <w:r>
        <w:rPr>
          <w:b/>
          <w:bCs/>
          <w:color w:val="0000CC"/>
        </w:rPr>
        <w:t xml:space="preserve"> Phase</w:t>
      </w:r>
    </w:p>
    <w:p w14:paraId="15B4B336" w14:textId="77777777" w:rsidR="00EA567C" w:rsidRDefault="00786B2D">
      <w:pPr>
        <w:pStyle w:val="a9"/>
        <w:numPr>
          <w:ilvl w:val="0"/>
          <w:numId w:val="30"/>
        </w:numPr>
        <w:overflowPunct/>
        <w:autoSpaceDE/>
        <w:autoSpaceDN/>
        <w:adjustRightInd/>
        <w:spacing w:after="120" w:line="259" w:lineRule="auto"/>
        <w:contextualSpacing w:val="0"/>
        <w:jc w:val="both"/>
        <w:rPr>
          <w:color w:val="0000CC"/>
        </w:rPr>
      </w:pPr>
      <w:bookmarkStart w:id="24" w:name="_Ref75148769"/>
      <w:r>
        <w:rPr>
          <w:color w:val="0000CC"/>
        </w:rPr>
        <w:t xml:space="preserve">Is the following understanding confirmed: for the scenario where anchor relocation is performed in the middle of an ongoing SDT session, the security key is updated to meet SA3 requirement that the same security key is </w:t>
      </w:r>
      <w:r>
        <w:rPr>
          <w:color w:val="0000CC"/>
          <w:u w:val="single"/>
        </w:rPr>
        <w:t>not</w:t>
      </w:r>
      <w:r>
        <w:rPr>
          <w:color w:val="0000CC"/>
        </w:rPr>
        <w:t xml:space="preserve"> re-used in two nodes?</w:t>
      </w:r>
      <w:bookmarkEnd w:id="24"/>
    </w:p>
    <w:tbl>
      <w:tblPr>
        <w:tblStyle w:val="ab"/>
        <w:tblW w:w="0" w:type="auto"/>
        <w:tblLook w:val="04A0" w:firstRow="1" w:lastRow="0" w:firstColumn="1" w:lastColumn="0" w:noHBand="0" w:noVBand="1"/>
      </w:tblPr>
      <w:tblGrid>
        <w:gridCol w:w="1963"/>
        <w:gridCol w:w="1261"/>
        <w:gridCol w:w="6126"/>
      </w:tblGrid>
      <w:tr w:rsidR="00EA567C" w14:paraId="15B4B33A" w14:textId="77777777">
        <w:tc>
          <w:tcPr>
            <w:tcW w:w="1963" w:type="dxa"/>
            <w:shd w:val="clear" w:color="auto" w:fill="BFBFBF" w:themeFill="background1" w:themeFillShade="BF"/>
          </w:tcPr>
          <w:p w14:paraId="15B4B337" w14:textId="77777777" w:rsidR="00EA567C" w:rsidRDefault="00786B2D">
            <w:pPr>
              <w:spacing w:after="0"/>
              <w:jc w:val="center"/>
              <w:rPr>
                <w:b/>
                <w:bCs/>
              </w:rPr>
            </w:pPr>
            <w:r>
              <w:rPr>
                <w:b/>
                <w:bCs/>
              </w:rPr>
              <w:t>Company’s name</w:t>
            </w:r>
          </w:p>
        </w:tc>
        <w:tc>
          <w:tcPr>
            <w:tcW w:w="1261" w:type="dxa"/>
            <w:shd w:val="clear" w:color="auto" w:fill="BFBFBF" w:themeFill="background1" w:themeFillShade="BF"/>
          </w:tcPr>
          <w:p w14:paraId="15B4B338" w14:textId="77777777" w:rsidR="00EA567C" w:rsidRDefault="00786B2D">
            <w:pPr>
              <w:spacing w:after="0"/>
              <w:jc w:val="center"/>
              <w:rPr>
                <w:b/>
                <w:bCs/>
              </w:rPr>
            </w:pPr>
            <w:r>
              <w:rPr>
                <w:b/>
                <w:bCs/>
              </w:rPr>
              <w:t>Yes/No</w:t>
            </w:r>
          </w:p>
        </w:tc>
        <w:tc>
          <w:tcPr>
            <w:tcW w:w="6126" w:type="dxa"/>
            <w:shd w:val="clear" w:color="auto" w:fill="BFBFBF" w:themeFill="background1" w:themeFillShade="BF"/>
          </w:tcPr>
          <w:p w14:paraId="15B4B339" w14:textId="77777777" w:rsidR="00EA567C" w:rsidRDefault="00786B2D">
            <w:pPr>
              <w:spacing w:after="0"/>
              <w:jc w:val="center"/>
              <w:rPr>
                <w:b/>
                <w:bCs/>
              </w:rPr>
            </w:pPr>
            <w:r>
              <w:rPr>
                <w:b/>
                <w:bCs/>
              </w:rPr>
              <w:t>Justification (if the response is no)</w:t>
            </w:r>
          </w:p>
        </w:tc>
      </w:tr>
      <w:tr w:rsidR="00EA567C" w14:paraId="15B4B340" w14:textId="77777777">
        <w:tc>
          <w:tcPr>
            <w:tcW w:w="1963" w:type="dxa"/>
          </w:tcPr>
          <w:p w14:paraId="15B4B33B" w14:textId="77777777" w:rsidR="00EA567C" w:rsidRDefault="00786B2D">
            <w:pPr>
              <w:spacing w:after="0"/>
            </w:pPr>
            <w:r>
              <w:t>Huawei, HiSilicon</w:t>
            </w:r>
          </w:p>
        </w:tc>
        <w:tc>
          <w:tcPr>
            <w:tcW w:w="1261" w:type="dxa"/>
          </w:tcPr>
          <w:p w14:paraId="15B4B33C" w14:textId="77777777" w:rsidR="00EA567C" w:rsidRDefault="00786B2D">
            <w:pPr>
              <w:spacing w:after="0"/>
            </w:pPr>
            <w:r>
              <w:t>Worth checking with SA3 whether this is an issue, other approaches than updating the security key for RRCResume exist as well</w:t>
            </w:r>
          </w:p>
        </w:tc>
        <w:tc>
          <w:tcPr>
            <w:tcW w:w="6126" w:type="dxa"/>
          </w:tcPr>
          <w:p w14:paraId="15B4B33D" w14:textId="77777777" w:rsidR="00EA567C" w:rsidRDefault="00786B2D">
            <w:pPr>
              <w:spacing w:after="0"/>
            </w:pPr>
            <w:r>
              <w:t xml:space="preserve">This case is somewhat different from legacy case to which the SA3 requirement refers to because all the messages are anyway sent over the air interface between serving gNB and the UE (i.e. between the UE and a single gNB, not two different gNBs). It should also be noted that the lack of key separation would happen only for a single message, i.e. RRCResume message. Right after resuming the connection, the serving gNB can perform security key update based on the new NCC received from AMF during Path Switch. It might be then worth clarifying with SA3 whether this is an issue that needs to be addressed. </w:t>
            </w:r>
          </w:p>
          <w:p w14:paraId="15B4B33E" w14:textId="77777777" w:rsidR="00EA567C" w:rsidRDefault="00EA567C">
            <w:pPr>
              <w:spacing w:after="0"/>
            </w:pPr>
          </w:p>
          <w:p w14:paraId="15B4B33F" w14:textId="77777777" w:rsidR="00EA567C" w:rsidRDefault="00786B2D">
            <w:pPr>
              <w:spacing w:after="0"/>
            </w:pPr>
            <w:r>
              <w:t>If this is deemed an issue after all, then we would prefer avoiding developing new complicated signaling options. Instead of this, a simple solution would be for the current anchor gNB to end the SDT procedure (i.e. provide RRCRelease message to the UE) and let the UE establish a new non-SDT connection. This way all the potential security issues can be avoided.</w:t>
            </w:r>
          </w:p>
        </w:tc>
      </w:tr>
      <w:tr w:rsidR="00EA567C" w14:paraId="15B4B344" w14:textId="77777777">
        <w:trPr>
          <w:trHeight w:val="43"/>
        </w:trPr>
        <w:tc>
          <w:tcPr>
            <w:tcW w:w="1963" w:type="dxa"/>
          </w:tcPr>
          <w:p w14:paraId="15B4B341" w14:textId="77777777" w:rsidR="00EA567C" w:rsidRDefault="00786B2D">
            <w:pPr>
              <w:spacing w:after="0"/>
            </w:pPr>
            <w:r>
              <w:t>ZTE</w:t>
            </w:r>
          </w:p>
        </w:tc>
        <w:tc>
          <w:tcPr>
            <w:tcW w:w="1261" w:type="dxa"/>
          </w:tcPr>
          <w:p w14:paraId="15B4B342" w14:textId="77777777" w:rsidR="00EA567C" w:rsidRDefault="00786B2D">
            <w:pPr>
              <w:spacing w:after="0"/>
            </w:pPr>
            <w:r>
              <w:t>Yes</w:t>
            </w:r>
          </w:p>
        </w:tc>
        <w:tc>
          <w:tcPr>
            <w:tcW w:w="6126" w:type="dxa"/>
          </w:tcPr>
          <w:p w14:paraId="15B4B343" w14:textId="77777777" w:rsidR="00EA567C" w:rsidRDefault="00786B2D">
            <w:pPr>
              <w:spacing w:after="0"/>
            </w:pPr>
            <w:r>
              <w:t xml:space="preserve">However, we agree with the views from Huawei above that a simple solution would be preferable (e.g. the anchor gNB to end the SDT procedure and let the UE establish a new connection). Handling of the pending PDCP entity will then need to be performed as per the agreement for the above question. </w:t>
            </w:r>
          </w:p>
        </w:tc>
      </w:tr>
      <w:tr w:rsidR="00EA567C" w14:paraId="15B4B348" w14:textId="77777777">
        <w:trPr>
          <w:trHeight w:val="43"/>
        </w:trPr>
        <w:tc>
          <w:tcPr>
            <w:tcW w:w="1963" w:type="dxa"/>
          </w:tcPr>
          <w:p w14:paraId="15B4B345" w14:textId="77777777" w:rsidR="00EA567C" w:rsidRDefault="00786B2D">
            <w:pPr>
              <w:spacing w:after="0"/>
            </w:pPr>
            <w:r>
              <w:rPr>
                <w:rFonts w:hint="eastAsia"/>
              </w:rPr>
              <w:t>InterDigital</w:t>
            </w:r>
          </w:p>
        </w:tc>
        <w:tc>
          <w:tcPr>
            <w:tcW w:w="1261" w:type="dxa"/>
          </w:tcPr>
          <w:p w14:paraId="15B4B346" w14:textId="77777777" w:rsidR="00EA567C" w:rsidRDefault="00786B2D">
            <w:pPr>
              <w:spacing w:after="0"/>
            </w:pPr>
            <w:r>
              <w:rPr>
                <w:rFonts w:hint="eastAsia"/>
              </w:rPr>
              <w:t>Yes</w:t>
            </w:r>
          </w:p>
        </w:tc>
        <w:tc>
          <w:tcPr>
            <w:tcW w:w="6126" w:type="dxa"/>
          </w:tcPr>
          <w:p w14:paraId="15B4B347" w14:textId="77777777" w:rsidR="00EA567C" w:rsidRDefault="00786B2D">
            <w:pPr>
              <w:spacing w:after="0"/>
            </w:pPr>
            <w:r>
              <w:rPr>
                <w:rFonts w:hint="eastAsia"/>
              </w:rPr>
              <w:t>The AS key</w:t>
            </w:r>
            <w:r>
              <w:t>s</w:t>
            </w:r>
            <w:r>
              <w:rPr>
                <w:rFonts w:hint="eastAsia"/>
              </w:rPr>
              <w:t xml:space="preserve"> </w:t>
            </w:r>
            <w:r>
              <w:t>are</w:t>
            </w:r>
            <w:r>
              <w:rPr>
                <w:rFonts w:hint="eastAsia"/>
              </w:rPr>
              <w:t xml:space="preserve"> associated with the anchor gNB and so the AS key</w:t>
            </w:r>
            <w:r>
              <w:t>s</w:t>
            </w:r>
            <w:r>
              <w:rPr>
                <w:rFonts w:hint="eastAsia"/>
              </w:rPr>
              <w:t xml:space="preserve"> </w:t>
            </w:r>
            <w:r>
              <w:t>should</w:t>
            </w:r>
            <w:r>
              <w:rPr>
                <w:rFonts w:hint="eastAsia"/>
              </w:rPr>
              <w:t xml:space="preserve"> be updated upon change of anchor</w:t>
            </w:r>
            <w:r>
              <w:t>ing point</w:t>
            </w:r>
            <w:r>
              <w:rPr>
                <w:rFonts w:hint="eastAsia"/>
              </w:rPr>
              <w:t>.</w:t>
            </w:r>
          </w:p>
        </w:tc>
      </w:tr>
      <w:tr w:rsidR="00EA567C" w14:paraId="15B4B34C" w14:textId="77777777">
        <w:tc>
          <w:tcPr>
            <w:tcW w:w="1963" w:type="dxa"/>
          </w:tcPr>
          <w:p w14:paraId="15B4B349" w14:textId="77777777" w:rsidR="00EA567C" w:rsidRDefault="00786B2D">
            <w:pPr>
              <w:spacing w:after="0"/>
            </w:pPr>
            <w:r>
              <w:t>CATT</w:t>
            </w:r>
          </w:p>
        </w:tc>
        <w:tc>
          <w:tcPr>
            <w:tcW w:w="1261" w:type="dxa"/>
          </w:tcPr>
          <w:p w14:paraId="15B4B34A" w14:textId="77777777" w:rsidR="00EA567C" w:rsidRDefault="00786B2D">
            <w:pPr>
              <w:spacing w:after="0"/>
            </w:pPr>
            <w:r>
              <w:t>Yes</w:t>
            </w:r>
          </w:p>
        </w:tc>
        <w:tc>
          <w:tcPr>
            <w:tcW w:w="6126" w:type="dxa"/>
          </w:tcPr>
          <w:p w14:paraId="15B4B34B" w14:textId="77777777" w:rsidR="00EA567C" w:rsidRDefault="00786B2D">
            <w:pPr>
              <w:spacing w:after="0"/>
            </w:pPr>
            <w:r>
              <w:t>We also support to further check with SA3 even though the lack of key separation may have seem to happen only for a single message.</w:t>
            </w:r>
          </w:p>
        </w:tc>
      </w:tr>
      <w:tr w:rsidR="00EA567C" w14:paraId="15B4B352" w14:textId="77777777">
        <w:tc>
          <w:tcPr>
            <w:tcW w:w="1963" w:type="dxa"/>
          </w:tcPr>
          <w:p w14:paraId="15B4B34D" w14:textId="77777777" w:rsidR="00EA567C" w:rsidRDefault="00786B2D">
            <w:pPr>
              <w:spacing w:after="0"/>
            </w:pPr>
            <w:r>
              <w:rPr>
                <w:rFonts w:eastAsiaTheme="minorEastAsia" w:hint="eastAsia"/>
              </w:rPr>
              <w:t>Samsung</w:t>
            </w:r>
          </w:p>
        </w:tc>
        <w:tc>
          <w:tcPr>
            <w:tcW w:w="1261" w:type="dxa"/>
          </w:tcPr>
          <w:p w14:paraId="15B4B34E" w14:textId="77777777" w:rsidR="00EA567C" w:rsidRDefault="00786B2D">
            <w:pPr>
              <w:spacing w:after="0"/>
            </w:pPr>
            <w:r>
              <w:rPr>
                <w:rFonts w:eastAsiaTheme="minorEastAsia" w:hint="eastAsia"/>
              </w:rPr>
              <w:t>See comments</w:t>
            </w:r>
          </w:p>
        </w:tc>
        <w:tc>
          <w:tcPr>
            <w:tcW w:w="6126" w:type="dxa"/>
          </w:tcPr>
          <w:p w14:paraId="15B4B34F" w14:textId="77777777" w:rsidR="00EA567C" w:rsidRDefault="00786B2D">
            <w:pPr>
              <w:spacing w:after="0"/>
              <w:rPr>
                <w:rFonts w:eastAsiaTheme="minorEastAsia"/>
              </w:rPr>
            </w:pPr>
            <w:r>
              <w:rPr>
                <w:rFonts w:eastAsiaTheme="minorEastAsia" w:hint="eastAsia"/>
              </w:rPr>
              <w:t xml:space="preserve">During the </w:t>
            </w:r>
            <w:r>
              <w:rPr>
                <w:rFonts w:eastAsiaTheme="minorEastAsia"/>
              </w:rPr>
              <w:t xml:space="preserve">ongoing </w:t>
            </w:r>
            <w:r>
              <w:rPr>
                <w:rFonts w:eastAsiaTheme="minorEastAsia" w:hint="eastAsia"/>
              </w:rPr>
              <w:t>SDT session</w:t>
            </w:r>
            <w:r>
              <w:rPr>
                <w:rFonts w:eastAsiaTheme="minorEastAsia"/>
              </w:rPr>
              <w:t xml:space="preserve">, new security keys corresponding to serving gNB (not anchor gNB) are used. So, if anchor re-location is decided in middle of SDT session, we do not see any security issue in continuing using the security keys corresponding to serving gNB. </w:t>
            </w:r>
          </w:p>
          <w:p w14:paraId="15B4B350" w14:textId="77777777" w:rsidR="00EA567C" w:rsidRDefault="00EA567C">
            <w:pPr>
              <w:spacing w:after="0"/>
              <w:rPr>
                <w:rFonts w:eastAsiaTheme="minorEastAsia"/>
              </w:rPr>
            </w:pPr>
          </w:p>
          <w:p w14:paraId="15B4B351" w14:textId="77777777" w:rsidR="00EA567C" w:rsidRDefault="00786B2D">
            <w:pPr>
              <w:spacing w:after="0"/>
            </w:pPr>
            <w:r>
              <w:rPr>
                <w:rFonts w:eastAsiaTheme="minorEastAsia"/>
              </w:rPr>
              <w:t xml:space="preserve">If companies think that there can be security issue, we are ok to ask/get confirmation from SA3.  </w:t>
            </w:r>
          </w:p>
        </w:tc>
      </w:tr>
      <w:tr w:rsidR="00EA567C" w14:paraId="15B4B356" w14:textId="77777777">
        <w:tc>
          <w:tcPr>
            <w:tcW w:w="1963" w:type="dxa"/>
          </w:tcPr>
          <w:p w14:paraId="15B4B353" w14:textId="77777777" w:rsidR="00EA567C" w:rsidRDefault="00786B2D">
            <w:pPr>
              <w:spacing w:after="0"/>
              <w:rPr>
                <w:rFonts w:eastAsiaTheme="minorEastAsia"/>
              </w:rPr>
            </w:pPr>
            <w:r>
              <w:rPr>
                <w:rFonts w:eastAsiaTheme="minorEastAsia" w:hint="eastAsia"/>
              </w:rPr>
              <w:t>Fujitsu</w:t>
            </w:r>
          </w:p>
        </w:tc>
        <w:tc>
          <w:tcPr>
            <w:tcW w:w="1261" w:type="dxa"/>
          </w:tcPr>
          <w:p w14:paraId="15B4B354" w14:textId="77777777" w:rsidR="00EA567C" w:rsidRDefault="00786B2D">
            <w:pPr>
              <w:spacing w:after="0"/>
              <w:rPr>
                <w:rFonts w:eastAsiaTheme="minorEastAsia"/>
              </w:rPr>
            </w:pPr>
            <w:r>
              <w:rPr>
                <w:rFonts w:eastAsiaTheme="minorEastAsia" w:hint="eastAsia"/>
              </w:rPr>
              <w:t>Yes</w:t>
            </w:r>
          </w:p>
        </w:tc>
        <w:tc>
          <w:tcPr>
            <w:tcW w:w="6126" w:type="dxa"/>
          </w:tcPr>
          <w:p w14:paraId="15B4B355" w14:textId="77777777" w:rsidR="00EA567C" w:rsidRDefault="00786B2D">
            <w:pPr>
              <w:spacing w:after="0"/>
              <w:rPr>
                <w:rFonts w:eastAsiaTheme="minorEastAsia"/>
              </w:rPr>
            </w:pPr>
            <w:r>
              <w:rPr>
                <w:rFonts w:eastAsiaTheme="minorEastAsia" w:hint="eastAsia"/>
              </w:rPr>
              <w:t xml:space="preserve">We have the same understanding that </w:t>
            </w:r>
            <w:r>
              <w:rPr>
                <w:rFonts w:eastAsiaTheme="minorEastAsia"/>
              </w:rPr>
              <w:t xml:space="preserve">the same security key is </w:t>
            </w:r>
            <w:r>
              <w:rPr>
                <w:rFonts w:eastAsiaTheme="minorEastAsia"/>
                <w:u w:val="single"/>
              </w:rPr>
              <w:t>not</w:t>
            </w:r>
            <w:r>
              <w:rPr>
                <w:rFonts w:eastAsiaTheme="minorEastAsia"/>
              </w:rPr>
              <w:t xml:space="preserve"> re-used in two nodes. In addition, we also think that the starting point is to end the ongoing SDT procedure and establish new connection.</w:t>
            </w:r>
          </w:p>
        </w:tc>
      </w:tr>
      <w:tr w:rsidR="00EA567C" w14:paraId="15B4B35A" w14:textId="77777777">
        <w:tc>
          <w:tcPr>
            <w:tcW w:w="1963" w:type="dxa"/>
          </w:tcPr>
          <w:p w14:paraId="15B4B357" w14:textId="77777777" w:rsidR="00EA567C" w:rsidRDefault="00786B2D">
            <w:pPr>
              <w:spacing w:after="0"/>
            </w:pPr>
            <w:r>
              <w:rPr>
                <w:rFonts w:hint="eastAsia"/>
              </w:rPr>
              <w:t>LG</w:t>
            </w:r>
          </w:p>
        </w:tc>
        <w:tc>
          <w:tcPr>
            <w:tcW w:w="1261" w:type="dxa"/>
          </w:tcPr>
          <w:p w14:paraId="15B4B358" w14:textId="77777777" w:rsidR="00EA567C" w:rsidRDefault="00786B2D">
            <w:pPr>
              <w:spacing w:after="0"/>
              <w:rPr>
                <w:rFonts w:eastAsia="Malgun Gothic"/>
                <w:lang w:eastAsia="ko-KR"/>
              </w:rPr>
            </w:pPr>
            <w:r>
              <w:rPr>
                <w:rFonts w:eastAsia="Malgun Gothic" w:hint="eastAsia"/>
                <w:lang w:eastAsia="ko-KR"/>
              </w:rPr>
              <w:t>Check with SA3</w:t>
            </w:r>
          </w:p>
        </w:tc>
        <w:tc>
          <w:tcPr>
            <w:tcW w:w="6126" w:type="dxa"/>
          </w:tcPr>
          <w:p w14:paraId="15B4B359" w14:textId="77777777" w:rsidR="00EA567C" w:rsidRDefault="00786B2D">
            <w:pPr>
              <w:spacing w:after="0"/>
              <w:rPr>
                <w:rFonts w:eastAsia="Malgun Gothic"/>
                <w:lang w:eastAsia="ko-KR"/>
              </w:rPr>
            </w:pPr>
            <w:r>
              <w:rPr>
                <w:rFonts w:eastAsia="Malgun Gothic" w:hint="eastAsia"/>
                <w:lang w:eastAsia="ko-KR"/>
              </w:rPr>
              <w:t xml:space="preserve">Agree with Huawei that we first have to check with SA3 whether this is a real issue. </w:t>
            </w:r>
            <w:r>
              <w:rPr>
                <w:rFonts w:eastAsia="Malgun Gothic"/>
                <w:lang w:eastAsia="ko-KR"/>
              </w:rPr>
              <w:t>And, even if this is an issue, terminate the current SDT procedure and initiate a new SDT procedure can work without any security issue.</w:t>
            </w:r>
          </w:p>
        </w:tc>
      </w:tr>
      <w:tr w:rsidR="00101B1B" w14:paraId="1377306B" w14:textId="77777777">
        <w:tc>
          <w:tcPr>
            <w:tcW w:w="1963" w:type="dxa"/>
          </w:tcPr>
          <w:p w14:paraId="68D328C6" w14:textId="0B095A50" w:rsidR="00101B1B" w:rsidRDefault="00101B1B" w:rsidP="00101B1B">
            <w:pPr>
              <w:spacing w:after="0"/>
            </w:pPr>
            <w:r>
              <w:t>Intel</w:t>
            </w:r>
          </w:p>
        </w:tc>
        <w:tc>
          <w:tcPr>
            <w:tcW w:w="1261" w:type="dxa"/>
          </w:tcPr>
          <w:p w14:paraId="07D01AE3" w14:textId="00DA66F7" w:rsidR="00101B1B" w:rsidRDefault="00101B1B" w:rsidP="00101B1B">
            <w:pPr>
              <w:spacing w:after="0"/>
              <w:rPr>
                <w:rFonts w:eastAsia="Malgun Gothic"/>
                <w:lang w:eastAsia="ko-KR"/>
              </w:rPr>
            </w:pPr>
            <w:r>
              <w:t>Yes</w:t>
            </w:r>
          </w:p>
        </w:tc>
        <w:tc>
          <w:tcPr>
            <w:tcW w:w="6126" w:type="dxa"/>
          </w:tcPr>
          <w:p w14:paraId="55A4199B" w14:textId="55ACB22C" w:rsidR="00101B1B" w:rsidRDefault="00101B1B" w:rsidP="00101B1B">
            <w:pPr>
              <w:spacing w:after="0"/>
              <w:rPr>
                <w:rFonts w:eastAsia="Malgun Gothic"/>
                <w:lang w:eastAsia="ko-KR"/>
              </w:rPr>
            </w:pPr>
            <w:r>
              <w:t xml:space="preserve">The principle has to be maintained.  Any relaxation of it will require checking with SA3 which will add more delay in terms of discussing solutions.  </w:t>
            </w:r>
          </w:p>
        </w:tc>
      </w:tr>
      <w:tr w:rsidR="00D56910" w14:paraId="1BE8DEAF" w14:textId="77777777">
        <w:tc>
          <w:tcPr>
            <w:tcW w:w="1963" w:type="dxa"/>
          </w:tcPr>
          <w:p w14:paraId="7616D9A8" w14:textId="6F055EA0" w:rsidR="00D56910" w:rsidRDefault="00D56910" w:rsidP="00D56910">
            <w:pPr>
              <w:spacing w:after="0"/>
            </w:pPr>
            <w:r>
              <w:rPr>
                <w:rFonts w:hint="eastAsia"/>
                <w:lang w:eastAsia="zh-CN"/>
              </w:rPr>
              <w:t>N</w:t>
            </w:r>
            <w:r>
              <w:rPr>
                <w:lang w:eastAsia="zh-CN"/>
              </w:rPr>
              <w:t>EC</w:t>
            </w:r>
          </w:p>
        </w:tc>
        <w:tc>
          <w:tcPr>
            <w:tcW w:w="1261" w:type="dxa"/>
          </w:tcPr>
          <w:p w14:paraId="65A8F56B" w14:textId="3C0C0C79" w:rsidR="00D56910" w:rsidRDefault="00D56910" w:rsidP="00D56910">
            <w:pPr>
              <w:spacing w:after="0"/>
            </w:pPr>
            <w:r>
              <w:rPr>
                <w:lang w:eastAsia="zh-CN"/>
              </w:rPr>
              <w:t>Should be decided by SA3</w:t>
            </w:r>
          </w:p>
        </w:tc>
        <w:tc>
          <w:tcPr>
            <w:tcW w:w="6126" w:type="dxa"/>
          </w:tcPr>
          <w:p w14:paraId="35474A9C" w14:textId="77777777" w:rsidR="00D56910" w:rsidRDefault="00D56910" w:rsidP="00D56910">
            <w:pPr>
              <w:spacing w:after="0"/>
              <w:rPr>
                <w:lang w:eastAsia="zh-CN"/>
              </w:rPr>
            </w:pPr>
            <w:r>
              <w:rPr>
                <w:lang w:eastAsia="zh-CN"/>
              </w:rPr>
              <w:t xml:space="preserve">To us, although the PDCP location is changed, but the radio link is not changed, which means the security key is actually used for transmission between UE and new gNB for both the cases of before and after anchor </w:t>
            </w:r>
            <w:r>
              <w:rPr>
                <w:lang w:eastAsia="zh-CN"/>
              </w:rPr>
              <w:lastRenderedPageBreak/>
              <w:t xml:space="preserve">relocation. So from that perspective, the backward security principle is not violated if the security key is not changed. </w:t>
            </w:r>
          </w:p>
          <w:p w14:paraId="1DDBFF96" w14:textId="0B06158C" w:rsidR="00D56910" w:rsidRDefault="00D56910" w:rsidP="00D56910">
            <w:pPr>
              <w:spacing w:after="0"/>
            </w:pPr>
            <w:r>
              <w:rPr>
                <w:lang w:eastAsia="zh-CN"/>
              </w:rPr>
              <w:t>Anyway, we think this issue should be discussed and decided by SA3.</w:t>
            </w:r>
          </w:p>
        </w:tc>
      </w:tr>
    </w:tbl>
    <w:p w14:paraId="15B4B35B" w14:textId="77777777" w:rsidR="00EA567C" w:rsidRDefault="00786B2D">
      <w:pPr>
        <w:jc w:val="both"/>
        <w:rPr>
          <w:rFonts w:ascii="Times New Roman" w:hAnsi="Times New Roman" w:cs="Times New Roman"/>
          <w:color w:val="0000CC"/>
          <w:sz w:val="20"/>
          <w:szCs w:val="20"/>
          <w:lang w:eastAsia="ja-JP"/>
        </w:rPr>
      </w:pPr>
      <w:r>
        <w:rPr>
          <w:rFonts w:ascii="Times New Roman" w:hAnsi="Times New Roman" w:cs="Times New Roman" w:hint="eastAsia"/>
          <w:color w:val="0000CC"/>
          <w:sz w:val="20"/>
          <w:szCs w:val="20"/>
          <w:lang w:eastAsia="ja-JP"/>
        </w:rPr>
        <w:lastRenderedPageBreak/>
        <w:t>｀</w:t>
      </w:r>
    </w:p>
    <w:p w14:paraId="15B4B35C" w14:textId="77777777" w:rsidR="00EA567C" w:rsidRDefault="00786B2D">
      <w:pPr>
        <w:pStyle w:val="5"/>
        <w:rPr>
          <w:b/>
          <w:color w:val="0000CC"/>
        </w:rPr>
      </w:pPr>
      <w:r>
        <w:rPr>
          <w:b/>
          <w:color w:val="0000CC"/>
        </w:rPr>
        <w:fldChar w:fldCharType="begin"/>
      </w:r>
      <w:r>
        <w:rPr>
          <w:b/>
          <w:color w:val="0000CC"/>
        </w:rPr>
        <w:instrText xml:space="preserve"> REF _Ref75149832 \r \h </w:instrText>
      </w:r>
      <w:r>
        <w:rPr>
          <w:b/>
          <w:color w:val="0000CC"/>
        </w:rPr>
      </w:r>
      <w:r>
        <w:rPr>
          <w:b/>
          <w:color w:val="0000CC"/>
        </w:rPr>
        <w:fldChar w:fldCharType="separate"/>
      </w:r>
      <w:r>
        <w:rPr>
          <w:b/>
          <w:color w:val="0000CC"/>
        </w:rPr>
        <w:t>Q.3)</w:t>
      </w:r>
      <w:r>
        <w:rPr>
          <w:b/>
          <w:color w:val="0000CC"/>
        </w:rPr>
        <w:fldChar w:fldCharType="end"/>
      </w:r>
      <w:r>
        <w:rPr>
          <w:b/>
          <w:color w:val="0000CC"/>
          <w:lang w:val="en-US"/>
        </w:rPr>
        <w:t xml:space="preserve"> </w:t>
      </w:r>
      <w:r>
        <w:rPr>
          <w:b/>
          <w:color w:val="0000CC"/>
        </w:rPr>
        <w:t>for 2</w:t>
      </w:r>
      <w:r>
        <w:rPr>
          <w:b/>
          <w:color w:val="0000CC"/>
          <w:vertAlign w:val="superscript"/>
        </w:rPr>
        <w:t>nd</w:t>
      </w:r>
      <w:r>
        <w:rPr>
          <w:b/>
          <w:color w:val="0000CC"/>
        </w:rPr>
        <w:t xml:space="preserve"> Phase</w:t>
      </w:r>
    </w:p>
    <w:p w14:paraId="15B4B35D" w14:textId="77777777" w:rsidR="00EA567C" w:rsidRDefault="00786B2D">
      <w:pPr>
        <w:pStyle w:val="a9"/>
        <w:numPr>
          <w:ilvl w:val="0"/>
          <w:numId w:val="30"/>
        </w:numPr>
        <w:overflowPunct/>
        <w:autoSpaceDE/>
        <w:autoSpaceDN/>
        <w:adjustRightInd/>
        <w:spacing w:after="120" w:line="259" w:lineRule="auto"/>
        <w:contextualSpacing w:val="0"/>
        <w:jc w:val="both"/>
        <w:rPr>
          <w:color w:val="0000CC"/>
        </w:rPr>
      </w:pPr>
      <w:bookmarkStart w:id="25" w:name="_Ref75149832"/>
      <w:r>
        <w:rPr>
          <w:color w:val="0000CC"/>
        </w:rPr>
        <w:t xml:space="preserve">Assuming that RAN2 confirms in previous point in </w:t>
      </w:r>
      <w:r>
        <w:rPr>
          <w:color w:val="0000CC"/>
        </w:rPr>
        <w:fldChar w:fldCharType="begin"/>
      </w:r>
      <w:r>
        <w:rPr>
          <w:color w:val="0000CC"/>
        </w:rPr>
        <w:instrText xml:space="preserve"> REF _Ref75148769 \r \h  \* MERGEFORMAT </w:instrText>
      </w:r>
      <w:r>
        <w:rPr>
          <w:color w:val="0000CC"/>
        </w:rPr>
      </w:r>
      <w:r>
        <w:rPr>
          <w:color w:val="0000CC"/>
        </w:rPr>
        <w:fldChar w:fldCharType="separate"/>
      </w:r>
      <w:r>
        <w:rPr>
          <w:color w:val="0000CC"/>
        </w:rPr>
        <w:t>Q.2)</w:t>
      </w:r>
      <w:r>
        <w:rPr>
          <w:color w:val="0000CC"/>
        </w:rPr>
        <w:fldChar w:fldCharType="end"/>
      </w:r>
      <w:r>
        <w:rPr>
          <w:color w:val="0000CC"/>
        </w:rPr>
        <w:t xml:space="preserve"> (i.e. “the scenario where anchor relocation is performed in the middle of an ongoing SDT session, the security key is updated”), The following points summarize suggested RAN2 solutions to be confirmed for the new mechanism that updates the security key when performing anchor relocation in the middle of an ongoing SDT session</w:t>
      </w:r>
      <w:bookmarkEnd w:id="25"/>
      <w:r>
        <w:rPr>
          <w:color w:val="0000CC"/>
        </w:rPr>
        <w:t>. Please indicate your view on the solution points listed below and/or if you propose new ones to consider.</w:t>
      </w:r>
    </w:p>
    <w:p w14:paraId="15B4B35E" w14:textId="77777777" w:rsidR="00EA567C" w:rsidRDefault="00786B2D">
      <w:pPr>
        <w:pStyle w:val="a9"/>
        <w:numPr>
          <w:ilvl w:val="0"/>
          <w:numId w:val="45"/>
        </w:numPr>
        <w:jc w:val="both"/>
        <w:rPr>
          <w:color w:val="0000CC"/>
        </w:rPr>
      </w:pPr>
      <w:r>
        <w:rPr>
          <w:color w:val="0000CC"/>
        </w:rPr>
        <w:t xml:space="preserve">Network sends to UE a DL RRC msg (e.g. </w:t>
      </w:r>
      <w:r>
        <w:rPr>
          <w:i/>
          <w:iCs/>
          <w:color w:val="0000CC"/>
        </w:rPr>
        <w:t>RRCResume</w:t>
      </w:r>
      <w:r>
        <w:rPr>
          <w:color w:val="0000CC"/>
        </w:rPr>
        <w:t xml:space="preserve">) that provides the new NCC at the same time that informs of the switch from SDT to CONNECTED.  The security key is used for the transfer of that DL RRC msg (e.g. </w:t>
      </w:r>
      <w:r>
        <w:rPr>
          <w:i/>
          <w:iCs/>
          <w:color w:val="0000CC"/>
        </w:rPr>
        <w:t>RRCResume</w:t>
      </w:r>
      <w:r>
        <w:rPr>
          <w:color w:val="0000CC"/>
        </w:rPr>
        <w:t>) should also be addressed.</w:t>
      </w:r>
    </w:p>
    <w:p w14:paraId="15B4B35F" w14:textId="77777777" w:rsidR="00EA567C" w:rsidRDefault="00786B2D">
      <w:pPr>
        <w:pStyle w:val="a9"/>
        <w:numPr>
          <w:ilvl w:val="0"/>
          <w:numId w:val="45"/>
        </w:numPr>
        <w:jc w:val="both"/>
        <w:rPr>
          <w:ins w:id="26" w:author="Huawei" w:date="2021-07-01T13:50:00Z"/>
          <w:color w:val="0000CC"/>
        </w:rPr>
      </w:pPr>
      <w:r>
        <w:rPr>
          <w:color w:val="0000CC"/>
        </w:rPr>
        <w:t>L2 handling of data during and after the security key change (L2 reset/re-establishment and identification of data with old and new keys) can be addressed via reconfiguration with sync or by RLC bearer release and add with a new LCID.</w:t>
      </w:r>
    </w:p>
    <w:p w14:paraId="15B4B360" w14:textId="2402D070" w:rsidR="00EA567C" w:rsidRDefault="00786B2D">
      <w:pPr>
        <w:pStyle w:val="a9"/>
        <w:numPr>
          <w:ilvl w:val="0"/>
          <w:numId w:val="45"/>
        </w:numPr>
        <w:jc w:val="both"/>
        <w:rPr>
          <w:ins w:id="27" w:author="Intel" w:date="2021-07-20T22:01:00Z"/>
          <w:color w:val="0000CC"/>
        </w:rPr>
      </w:pPr>
      <w:ins w:id="28" w:author="Huawei" w:date="2021-07-01T13:50:00Z">
        <w:r>
          <w:rPr>
            <w:color w:val="0000CC"/>
          </w:rPr>
          <w:t>Current anchor gNB terminates and ongoing SDT procedure by sending RRCRelease message to the UE</w:t>
        </w:r>
      </w:ins>
      <w:ins w:id="29" w:author="Huawei" w:date="2021-07-01T13:51:00Z">
        <w:r>
          <w:rPr>
            <w:color w:val="0000CC"/>
          </w:rPr>
          <w:t xml:space="preserve"> (where NCC is provided). The UE triggers a new </w:t>
        </w:r>
        <w:commentRangeStart w:id="30"/>
        <w:r>
          <w:rPr>
            <w:color w:val="0000CC"/>
          </w:rPr>
          <w:t xml:space="preserve">non-SDT </w:t>
        </w:r>
      </w:ins>
      <w:commentRangeEnd w:id="30"/>
      <w:r>
        <w:rPr>
          <w:rStyle w:val="ad"/>
        </w:rPr>
        <w:commentReference w:id="30"/>
      </w:r>
      <w:ins w:id="31" w:author="Huawei" w:date="2021-07-01T13:51:00Z">
        <w:r>
          <w:rPr>
            <w:color w:val="0000CC"/>
          </w:rPr>
          <w:t xml:space="preserve">RRC Resume procedure during which the anchor is relocated to the new serving </w:t>
        </w:r>
      </w:ins>
      <w:ins w:id="32" w:author="Huawei" w:date="2021-07-01T13:52:00Z">
        <w:r>
          <w:rPr>
            <w:color w:val="0000CC"/>
          </w:rPr>
          <w:t>gNB.</w:t>
        </w:r>
      </w:ins>
    </w:p>
    <w:p w14:paraId="5871724B" w14:textId="56103D5A" w:rsidR="0046793E" w:rsidRDefault="0046793E" w:rsidP="0046793E">
      <w:pPr>
        <w:pStyle w:val="a9"/>
        <w:spacing w:before="240"/>
        <w:contextualSpacing w:val="0"/>
        <w:jc w:val="both"/>
        <w:rPr>
          <w:ins w:id="33" w:author="Intel" w:date="2021-07-20T22:01:00Z"/>
          <w:color w:val="0000CC"/>
          <w:lang w:val="en-US"/>
        </w:rPr>
      </w:pPr>
      <w:ins w:id="34" w:author="Intel" w:date="2021-07-20T22:01:00Z">
        <w:r>
          <w:rPr>
            <w:b/>
            <w:bCs/>
            <w:color w:val="FF0000"/>
          </w:rPr>
          <w:t>[</w:t>
        </w:r>
        <w:r>
          <w:rPr>
            <w:b/>
            <w:bCs/>
            <w:color w:val="FF0000"/>
            <w:highlight w:val="yellow"/>
          </w:rPr>
          <w:t>07/</w:t>
        </w:r>
      </w:ins>
      <w:ins w:id="35" w:author="Intel" w:date="2021-07-20T22:02:00Z">
        <w:r>
          <w:rPr>
            <w:b/>
            <w:bCs/>
            <w:color w:val="FF0000"/>
            <w:highlight w:val="yellow"/>
          </w:rPr>
          <w:t>20</w:t>
        </w:r>
      </w:ins>
      <w:ins w:id="36" w:author="Intel" w:date="2021-07-20T22:01:00Z">
        <w:r>
          <w:rPr>
            <w:b/>
            <w:bCs/>
            <w:color w:val="FF0000"/>
          </w:rPr>
          <w:t>][Rapporteur’s input]</w:t>
        </w:r>
        <w:r>
          <w:rPr>
            <w:color w:val="FF0000"/>
          </w:rPr>
          <w:t xml:space="preserve"> This new solution point 3) added by Huawei is already covered by previous option 1.a) which is discussed in previous Q.1). Therefore, companies are suggested to provide their corresponding view on it as part of previous Q.1)</w:t>
        </w:r>
      </w:ins>
    </w:p>
    <w:tbl>
      <w:tblPr>
        <w:tblStyle w:val="ab"/>
        <w:tblW w:w="5000" w:type="pct"/>
        <w:tblLook w:val="04A0" w:firstRow="1" w:lastRow="0" w:firstColumn="1" w:lastColumn="0" w:noHBand="0" w:noVBand="1"/>
      </w:tblPr>
      <w:tblGrid>
        <w:gridCol w:w="1345"/>
        <w:gridCol w:w="8005"/>
      </w:tblGrid>
      <w:tr w:rsidR="00EA567C" w14:paraId="15B4B364" w14:textId="77777777">
        <w:tc>
          <w:tcPr>
            <w:tcW w:w="719" w:type="pct"/>
            <w:shd w:val="clear" w:color="auto" w:fill="BFBFBF" w:themeFill="background1" w:themeFillShade="BF"/>
          </w:tcPr>
          <w:p w14:paraId="15B4B361" w14:textId="77777777" w:rsidR="00EA567C" w:rsidRDefault="00786B2D">
            <w:pPr>
              <w:spacing w:after="0"/>
              <w:jc w:val="center"/>
              <w:rPr>
                <w:b/>
                <w:bCs/>
              </w:rPr>
            </w:pPr>
            <w:r>
              <w:rPr>
                <w:b/>
                <w:bCs/>
              </w:rPr>
              <w:t>Company’s name</w:t>
            </w:r>
          </w:p>
        </w:tc>
        <w:tc>
          <w:tcPr>
            <w:tcW w:w="4281" w:type="pct"/>
            <w:shd w:val="clear" w:color="auto" w:fill="BFBFBF" w:themeFill="background1" w:themeFillShade="BF"/>
          </w:tcPr>
          <w:p w14:paraId="15B4B362" w14:textId="77777777" w:rsidR="00EA567C" w:rsidRDefault="00786B2D">
            <w:pPr>
              <w:spacing w:after="0"/>
              <w:jc w:val="center"/>
              <w:rPr>
                <w:b/>
                <w:bCs/>
              </w:rPr>
            </w:pPr>
            <w:r>
              <w:rPr>
                <w:b/>
                <w:bCs/>
              </w:rPr>
              <w:t>Companies’ views on the solution point(s) and/or</w:t>
            </w:r>
          </w:p>
          <w:p w14:paraId="15B4B363" w14:textId="77777777" w:rsidR="00EA567C" w:rsidRDefault="00786B2D">
            <w:pPr>
              <w:spacing w:after="0"/>
              <w:jc w:val="center"/>
              <w:rPr>
                <w:b/>
                <w:bCs/>
              </w:rPr>
            </w:pPr>
            <w:r>
              <w:rPr>
                <w:b/>
                <w:bCs/>
              </w:rPr>
              <w:t>additional new solution options to consider</w:t>
            </w:r>
          </w:p>
        </w:tc>
      </w:tr>
      <w:tr w:rsidR="00EA567C" w14:paraId="15B4B367" w14:textId="77777777">
        <w:tc>
          <w:tcPr>
            <w:tcW w:w="719" w:type="pct"/>
          </w:tcPr>
          <w:p w14:paraId="15B4B365" w14:textId="77777777" w:rsidR="00EA567C" w:rsidRDefault="00786B2D">
            <w:pPr>
              <w:spacing w:after="0"/>
            </w:pPr>
            <w:r>
              <w:t>Huawei, HiSilicon</w:t>
            </w:r>
          </w:p>
        </w:tc>
        <w:tc>
          <w:tcPr>
            <w:tcW w:w="4281" w:type="pct"/>
          </w:tcPr>
          <w:p w14:paraId="15B4B366" w14:textId="77777777" w:rsidR="00EA567C" w:rsidRDefault="00786B2D">
            <w:pPr>
              <w:spacing w:after="0"/>
            </w:pPr>
            <w:r>
              <w:t xml:space="preserve">As mentioned above, this scenario can be addressed by ending an ongoing SDT procedure with RRCRelease message and establishing a new connection via non-SDT RRC resume procedure during which the anchor gets relocated. We add an additional point for this approach above. </w:t>
            </w:r>
          </w:p>
        </w:tc>
      </w:tr>
      <w:tr w:rsidR="00EA567C" w14:paraId="15B4B36A" w14:textId="77777777">
        <w:tc>
          <w:tcPr>
            <w:tcW w:w="719" w:type="pct"/>
          </w:tcPr>
          <w:p w14:paraId="15B4B368" w14:textId="77777777" w:rsidR="00EA567C" w:rsidRDefault="00786B2D">
            <w:pPr>
              <w:spacing w:after="0"/>
            </w:pPr>
            <w:r>
              <w:t>ZTE</w:t>
            </w:r>
          </w:p>
        </w:tc>
        <w:tc>
          <w:tcPr>
            <w:tcW w:w="4281" w:type="pct"/>
          </w:tcPr>
          <w:p w14:paraId="15B4B369" w14:textId="77777777" w:rsidR="00EA567C" w:rsidRDefault="00786B2D">
            <w:pPr>
              <w:spacing w:after="0"/>
            </w:pPr>
            <w:r>
              <w:t xml:space="preserve"> We also support solution point 3 above (with slight modification).The UE shall trigger the next resume procedure using normal rules (i.e. the existing rules for SDT vs non-SDT will be used to trigger the next resume procedure) in this case. </w:t>
            </w:r>
          </w:p>
        </w:tc>
      </w:tr>
      <w:tr w:rsidR="00EA567C" w14:paraId="15B4B36E" w14:textId="77777777">
        <w:tc>
          <w:tcPr>
            <w:tcW w:w="719" w:type="pct"/>
          </w:tcPr>
          <w:p w14:paraId="15B4B36B" w14:textId="77777777" w:rsidR="00EA567C" w:rsidRDefault="00786B2D">
            <w:pPr>
              <w:spacing w:after="0"/>
            </w:pPr>
            <w:r>
              <w:rPr>
                <w:rFonts w:hint="eastAsia"/>
              </w:rPr>
              <w:t>InterDigital</w:t>
            </w:r>
          </w:p>
        </w:tc>
        <w:tc>
          <w:tcPr>
            <w:tcW w:w="4281" w:type="pct"/>
          </w:tcPr>
          <w:p w14:paraId="15B4B36C" w14:textId="77777777" w:rsidR="00EA567C" w:rsidRDefault="00786B2D">
            <w:pPr>
              <w:spacing w:after="0"/>
            </w:pPr>
            <w:r>
              <w:rPr>
                <w:rFonts w:hint="eastAsia"/>
              </w:rPr>
              <w:t xml:space="preserve">Regarding to Point 1), </w:t>
            </w:r>
            <w:r>
              <w:t>a new NCC should be provided in the DL RRC message and the DL RRC message should be integrity protected with the new key and + previously configured algorithm but not encrypted with the new key. It seems the RRC connection reestablishment procedure has all the toolkit required for the support of the concern scenario thus we suggest applying the RRC connection reestablishment procedure (i.e. follow 38.331 subclause 5.3.7 and 33.501 subclause 6.11) in the middle of the resume attempt and so the DL RRC message should be RRCReestablishment rather than RRCResume.</w:t>
            </w:r>
          </w:p>
          <w:p w14:paraId="15B4B36D" w14:textId="77777777" w:rsidR="00EA567C" w:rsidRDefault="00786B2D">
            <w:pPr>
              <w:spacing w:after="0"/>
            </w:pPr>
            <w:r>
              <w:t>Regarding to Point 2), the same procedures as RRC connection reestablishment procedure should take place.</w:t>
            </w:r>
          </w:p>
        </w:tc>
      </w:tr>
      <w:tr w:rsidR="00EA567C" w14:paraId="15B4B371" w14:textId="77777777">
        <w:tc>
          <w:tcPr>
            <w:tcW w:w="719" w:type="pct"/>
          </w:tcPr>
          <w:p w14:paraId="15B4B36F" w14:textId="77777777" w:rsidR="00EA567C" w:rsidRDefault="00786B2D">
            <w:pPr>
              <w:spacing w:after="0"/>
            </w:pPr>
            <w:r>
              <w:t>CATT</w:t>
            </w:r>
          </w:p>
        </w:tc>
        <w:tc>
          <w:tcPr>
            <w:tcW w:w="4281" w:type="pct"/>
          </w:tcPr>
          <w:p w14:paraId="15B4B370" w14:textId="77777777" w:rsidR="00EA567C" w:rsidRDefault="00786B2D">
            <w:pPr>
              <w:spacing w:after="0"/>
            </w:pPr>
            <w:r>
              <w:t>We think that solution point 2 would introduce additional delays as the RRCReconfiguration with SYNC is sent to the UE after RRCResumeComplete (in response to RRCResume) is received by the NG-RAN.  Solution point 3 would also introduce additional delay.</w:t>
            </w:r>
          </w:p>
        </w:tc>
      </w:tr>
      <w:tr w:rsidR="00EA567C" w14:paraId="15B4B374" w14:textId="77777777">
        <w:tc>
          <w:tcPr>
            <w:tcW w:w="719" w:type="pct"/>
          </w:tcPr>
          <w:p w14:paraId="15B4B372" w14:textId="77777777" w:rsidR="00EA567C" w:rsidRDefault="00786B2D">
            <w:pPr>
              <w:spacing w:after="0"/>
            </w:pPr>
            <w:r>
              <w:rPr>
                <w:rFonts w:eastAsiaTheme="minorEastAsia" w:hint="eastAsia"/>
              </w:rPr>
              <w:t>Samsung</w:t>
            </w:r>
          </w:p>
        </w:tc>
        <w:tc>
          <w:tcPr>
            <w:tcW w:w="4281" w:type="pct"/>
          </w:tcPr>
          <w:p w14:paraId="15B4B373" w14:textId="77777777" w:rsidR="00EA567C" w:rsidRDefault="00786B2D">
            <w:pPr>
              <w:spacing w:after="0"/>
            </w:pPr>
            <w:r>
              <w:rPr>
                <w:rFonts w:eastAsiaTheme="minorEastAsia" w:hint="eastAsia"/>
              </w:rPr>
              <w:t xml:space="preserve">We can agree to support </w:t>
            </w:r>
            <w:r>
              <w:t>solution point 3 if SA3 agrees that security keys needs to be updated.</w:t>
            </w:r>
          </w:p>
        </w:tc>
      </w:tr>
      <w:tr w:rsidR="00EA567C" w14:paraId="15B4B377" w14:textId="77777777">
        <w:tc>
          <w:tcPr>
            <w:tcW w:w="719" w:type="pct"/>
          </w:tcPr>
          <w:p w14:paraId="15B4B375" w14:textId="77777777" w:rsidR="00EA567C" w:rsidRDefault="00786B2D">
            <w:pPr>
              <w:spacing w:after="0"/>
              <w:rPr>
                <w:rFonts w:eastAsiaTheme="minorEastAsia"/>
              </w:rPr>
            </w:pPr>
            <w:r>
              <w:rPr>
                <w:rFonts w:eastAsiaTheme="minorEastAsia" w:hint="eastAsia"/>
              </w:rPr>
              <w:t>Fujitsu</w:t>
            </w:r>
          </w:p>
        </w:tc>
        <w:tc>
          <w:tcPr>
            <w:tcW w:w="4281" w:type="pct"/>
          </w:tcPr>
          <w:p w14:paraId="15B4B376" w14:textId="77777777" w:rsidR="00EA567C" w:rsidRDefault="00786B2D">
            <w:pPr>
              <w:spacing w:after="0"/>
              <w:rPr>
                <w:rFonts w:eastAsiaTheme="minorEastAsia"/>
              </w:rPr>
            </w:pPr>
            <w:r>
              <w:rPr>
                <w:rFonts w:eastAsiaTheme="minorEastAsia" w:hint="eastAsia"/>
              </w:rPr>
              <w:t>As commented in Q2, Point 3) would be the starting point.</w:t>
            </w:r>
          </w:p>
        </w:tc>
      </w:tr>
      <w:tr w:rsidR="00EA567C" w14:paraId="15B4B37A" w14:textId="77777777">
        <w:tc>
          <w:tcPr>
            <w:tcW w:w="719" w:type="pct"/>
          </w:tcPr>
          <w:p w14:paraId="15B4B378" w14:textId="77777777" w:rsidR="00EA567C" w:rsidRDefault="00786B2D">
            <w:pPr>
              <w:spacing w:after="0"/>
              <w:rPr>
                <w:rFonts w:eastAsia="Malgun Gothic"/>
                <w:lang w:eastAsia="ko-KR"/>
              </w:rPr>
            </w:pPr>
            <w:r>
              <w:rPr>
                <w:rFonts w:eastAsia="Malgun Gothic" w:hint="eastAsia"/>
                <w:lang w:eastAsia="ko-KR"/>
              </w:rPr>
              <w:t>LG</w:t>
            </w:r>
          </w:p>
        </w:tc>
        <w:tc>
          <w:tcPr>
            <w:tcW w:w="4281" w:type="pct"/>
          </w:tcPr>
          <w:p w14:paraId="15B4B379" w14:textId="77777777" w:rsidR="00EA567C" w:rsidRDefault="00786B2D">
            <w:pPr>
              <w:spacing w:after="0"/>
              <w:rPr>
                <w:rFonts w:eastAsia="Malgun Gothic"/>
                <w:lang w:eastAsia="ko-KR"/>
              </w:rPr>
            </w:pPr>
            <w:r>
              <w:rPr>
                <w:rFonts w:eastAsia="Malgun Gothic" w:hint="eastAsia"/>
                <w:lang w:eastAsia="ko-KR"/>
              </w:rPr>
              <w:t xml:space="preserve">Solution 3 is simple and workable solution. </w:t>
            </w:r>
            <w:r>
              <w:rPr>
                <w:rFonts w:eastAsia="Malgun Gothic"/>
                <w:lang w:eastAsia="ko-KR"/>
              </w:rPr>
              <w:t>Other solutions may have problem that the network does not know from which data a new security key is applied.</w:t>
            </w:r>
          </w:p>
        </w:tc>
      </w:tr>
      <w:tr w:rsidR="00AE3088" w14:paraId="10D79412" w14:textId="77777777">
        <w:tc>
          <w:tcPr>
            <w:tcW w:w="719" w:type="pct"/>
          </w:tcPr>
          <w:p w14:paraId="4096D1A6" w14:textId="14EAA737" w:rsidR="00AE3088" w:rsidRDefault="00AE3088" w:rsidP="00AE3088">
            <w:pPr>
              <w:spacing w:after="0"/>
              <w:rPr>
                <w:rFonts w:eastAsia="Malgun Gothic"/>
                <w:lang w:eastAsia="ko-KR"/>
              </w:rPr>
            </w:pPr>
            <w:r>
              <w:t>Intel</w:t>
            </w:r>
          </w:p>
        </w:tc>
        <w:tc>
          <w:tcPr>
            <w:tcW w:w="4281" w:type="pct"/>
          </w:tcPr>
          <w:p w14:paraId="091DA9A6" w14:textId="77777777" w:rsidR="00AE3088" w:rsidRDefault="00AE3088" w:rsidP="00AE3088">
            <w:pPr>
              <w:spacing w:after="0"/>
            </w:pPr>
            <w:r>
              <w:t>Option 1.b) is not our preferred approach, however if this approach were enabled, our preference is to model it as explained by solution point 1) and solution point 2).</w:t>
            </w:r>
          </w:p>
          <w:p w14:paraId="5201EF6A" w14:textId="77777777" w:rsidR="00AE3088" w:rsidRDefault="00AE3088" w:rsidP="00AE3088">
            <w:pPr>
              <w:spacing w:after="0"/>
            </w:pPr>
            <w:r>
              <w:lastRenderedPageBreak/>
              <w:t>We share the understanding explained by Rappetour’s input above that the new solution point 3) added by HUW is the same as the approach proposed by previous option 1.a).</w:t>
            </w:r>
          </w:p>
          <w:p w14:paraId="74F5B2C1" w14:textId="77777777" w:rsidR="00AE3088" w:rsidRDefault="00AE3088" w:rsidP="00AE3088">
            <w:pPr>
              <w:spacing w:after="0"/>
              <w:rPr>
                <w:rFonts w:eastAsia="Malgun Gothic"/>
                <w:lang w:eastAsia="ko-KR"/>
              </w:rPr>
            </w:pPr>
          </w:p>
        </w:tc>
      </w:tr>
    </w:tbl>
    <w:p w14:paraId="15B4B37B" w14:textId="77777777" w:rsidR="00EA567C" w:rsidRDefault="00EA567C"/>
    <w:p w14:paraId="15B4B37C" w14:textId="77777777" w:rsidR="00EA567C" w:rsidRDefault="00786B2D">
      <w:pPr>
        <w:pStyle w:val="5"/>
        <w:rPr>
          <w:b/>
          <w:color w:val="0000CC"/>
        </w:rPr>
      </w:pPr>
      <w:r>
        <w:rPr>
          <w:b/>
          <w:color w:val="0000CC"/>
        </w:rPr>
        <w:fldChar w:fldCharType="begin"/>
      </w:r>
      <w:r>
        <w:rPr>
          <w:b/>
          <w:color w:val="0000CC"/>
        </w:rPr>
        <w:instrText xml:space="preserve"> REF _Ref75148850 \r \h </w:instrText>
      </w:r>
      <w:r>
        <w:rPr>
          <w:b/>
          <w:color w:val="0000CC"/>
        </w:rPr>
      </w:r>
      <w:r>
        <w:rPr>
          <w:b/>
          <w:color w:val="0000CC"/>
        </w:rPr>
        <w:fldChar w:fldCharType="separate"/>
      </w:r>
      <w:r>
        <w:rPr>
          <w:b/>
          <w:color w:val="0000CC"/>
        </w:rPr>
        <w:t>Q.4)</w:t>
      </w:r>
      <w:r>
        <w:rPr>
          <w:b/>
          <w:color w:val="0000CC"/>
        </w:rPr>
        <w:fldChar w:fldCharType="end"/>
      </w:r>
      <w:r>
        <w:rPr>
          <w:b/>
          <w:color w:val="0000CC"/>
          <w:lang w:val="en-US"/>
        </w:rPr>
        <w:t xml:space="preserve"> </w:t>
      </w:r>
      <w:r>
        <w:rPr>
          <w:b/>
          <w:color w:val="0000CC"/>
        </w:rPr>
        <w:t>for 2</w:t>
      </w:r>
      <w:r>
        <w:rPr>
          <w:b/>
          <w:color w:val="0000CC"/>
          <w:vertAlign w:val="superscript"/>
        </w:rPr>
        <w:t>nd</w:t>
      </w:r>
      <w:r>
        <w:rPr>
          <w:b/>
          <w:color w:val="0000CC"/>
        </w:rPr>
        <w:t xml:space="preserve"> Phase</w:t>
      </w:r>
    </w:p>
    <w:p w14:paraId="15B4B37D" w14:textId="77777777" w:rsidR="00EA567C" w:rsidRDefault="00786B2D">
      <w:pPr>
        <w:pStyle w:val="a9"/>
        <w:numPr>
          <w:ilvl w:val="0"/>
          <w:numId w:val="30"/>
        </w:numPr>
        <w:overflowPunct/>
        <w:autoSpaceDE/>
        <w:autoSpaceDN/>
        <w:adjustRightInd/>
        <w:spacing w:after="120" w:line="259" w:lineRule="auto"/>
        <w:contextualSpacing w:val="0"/>
        <w:jc w:val="both"/>
        <w:rPr>
          <w:color w:val="0000CC"/>
        </w:rPr>
      </w:pPr>
      <w:bookmarkStart w:id="37" w:name="_Ref75148850"/>
      <w:bookmarkStart w:id="38" w:name="_Ref75173981"/>
      <w:bookmarkEnd w:id="13"/>
      <w:r>
        <w:rPr>
          <w:color w:val="0000CC"/>
        </w:rPr>
        <w:t xml:space="preserve">The following questions/points are suggested to be asked/informed to </w:t>
      </w:r>
      <w:r>
        <w:rPr>
          <w:b/>
          <w:color w:val="0000CC"/>
        </w:rPr>
        <w:t>RAN3</w:t>
      </w:r>
      <w:r>
        <w:rPr>
          <w:color w:val="0000CC"/>
        </w:rPr>
        <w:t xml:space="preserve"> in order to enable the </w:t>
      </w:r>
      <w:r>
        <w:rPr>
          <w:iCs/>
          <w:color w:val="0000CC"/>
        </w:rPr>
        <w:t>new mechanism that allows the</w:t>
      </w:r>
      <w:r>
        <w:rPr>
          <w:color w:val="0000CC"/>
        </w:rPr>
        <w:t xml:space="preserve"> switching from SDT to RRC_CONECTED during an ongoing SDT session where the UE context was </w:t>
      </w:r>
      <w:r>
        <w:rPr>
          <w:color w:val="0000CC"/>
          <w:u w:val="single"/>
        </w:rPr>
        <w:t>not</w:t>
      </w:r>
      <w:r>
        <w:rPr>
          <w:color w:val="0000CC"/>
        </w:rPr>
        <w:t xml:space="preserve"> relocated by the network (as explained in </w:t>
      </w:r>
      <w:r>
        <w:rPr>
          <w:b/>
          <w:bCs/>
          <w:color w:val="0000CC"/>
        </w:rPr>
        <w:t>previous option 1.b</w:t>
      </w:r>
      <w:r>
        <w:rPr>
          <w:color w:val="0000CC"/>
        </w:rPr>
        <w:t xml:space="preserve">). Please indicate if you do </w:t>
      </w:r>
      <w:r>
        <w:rPr>
          <w:color w:val="0000CC"/>
          <w:u w:val="single"/>
        </w:rPr>
        <w:t>not</w:t>
      </w:r>
      <w:r>
        <w:rPr>
          <w:color w:val="0000CC"/>
        </w:rPr>
        <w:t xml:space="preserve"> agree to include any of them and/or if you propose new questions to be shared with RAN3.</w:t>
      </w:r>
      <w:bookmarkEnd w:id="37"/>
      <w:bookmarkEnd w:id="38"/>
    </w:p>
    <w:bookmarkEnd w:id="16"/>
    <w:p w14:paraId="15B4B37E" w14:textId="77777777" w:rsidR="00EA567C" w:rsidRDefault="00786B2D">
      <w:pPr>
        <w:pStyle w:val="a9"/>
        <w:numPr>
          <w:ilvl w:val="1"/>
          <w:numId w:val="30"/>
        </w:numPr>
        <w:spacing w:after="60"/>
        <w:contextualSpacing w:val="0"/>
        <w:jc w:val="both"/>
        <w:rPr>
          <w:color w:val="0000CC"/>
        </w:rPr>
      </w:pPr>
      <w:r>
        <w:rPr>
          <w:color w:val="0000CC"/>
        </w:rPr>
        <w:t>Which node triggers/decides the switch from SDT to CONNECTED.</w:t>
      </w:r>
    </w:p>
    <w:p w14:paraId="15B4B37F" w14:textId="77777777" w:rsidR="00EA567C" w:rsidRDefault="00786B2D">
      <w:pPr>
        <w:pStyle w:val="a9"/>
        <w:numPr>
          <w:ilvl w:val="1"/>
          <w:numId w:val="30"/>
        </w:numPr>
        <w:spacing w:after="60"/>
        <w:contextualSpacing w:val="0"/>
        <w:jc w:val="both"/>
        <w:rPr>
          <w:color w:val="0000CC"/>
        </w:rPr>
      </w:pPr>
      <w:r>
        <w:rPr>
          <w:color w:val="0000CC"/>
        </w:rPr>
        <w:t xml:space="preserve">Which node decides the content of </w:t>
      </w:r>
      <w:r>
        <w:rPr>
          <w:i/>
          <w:iCs/>
          <w:color w:val="0000CC"/>
        </w:rPr>
        <w:t>RRCResume</w:t>
      </w:r>
      <w:r>
        <w:rPr>
          <w:color w:val="0000CC"/>
        </w:rPr>
        <w:t xml:space="preserve"> msg. </w:t>
      </w:r>
    </w:p>
    <w:p w14:paraId="15B4B380" w14:textId="77777777" w:rsidR="00EA567C" w:rsidRDefault="00786B2D">
      <w:pPr>
        <w:pStyle w:val="a9"/>
        <w:numPr>
          <w:ilvl w:val="1"/>
          <w:numId w:val="30"/>
        </w:numPr>
        <w:spacing w:after="60"/>
        <w:contextualSpacing w:val="0"/>
        <w:jc w:val="both"/>
        <w:rPr>
          <w:color w:val="0000CC"/>
        </w:rPr>
      </w:pPr>
      <w:r>
        <w:rPr>
          <w:color w:val="0000CC"/>
        </w:rPr>
        <w:t xml:space="preserve">Which node performs ciphering and integrity protection for </w:t>
      </w:r>
      <w:r>
        <w:rPr>
          <w:i/>
          <w:iCs/>
          <w:color w:val="0000CC"/>
        </w:rPr>
        <w:t>RRCResume</w:t>
      </w:r>
      <w:r>
        <w:rPr>
          <w:color w:val="0000CC"/>
        </w:rPr>
        <w:t xml:space="preserve"> msg. </w:t>
      </w:r>
    </w:p>
    <w:p w14:paraId="15B4B381" w14:textId="77777777" w:rsidR="00EA567C" w:rsidRDefault="00786B2D">
      <w:pPr>
        <w:pStyle w:val="a9"/>
        <w:numPr>
          <w:ilvl w:val="1"/>
          <w:numId w:val="30"/>
        </w:numPr>
        <w:spacing w:after="60"/>
        <w:contextualSpacing w:val="0"/>
        <w:jc w:val="both"/>
        <w:rPr>
          <w:color w:val="0000CC"/>
        </w:rPr>
      </w:pPr>
      <w:r>
        <w:rPr>
          <w:color w:val="0000CC"/>
        </w:rPr>
        <w:t xml:space="preserve">Which node decodes </w:t>
      </w:r>
      <w:r>
        <w:rPr>
          <w:i/>
          <w:iCs/>
          <w:color w:val="0000CC"/>
        </w:rPr>
        <w:t>RRCResumeComplete</w:t>
      </w:r>
      <w:r>
        <w:rPr>
          <w:color w:val="0000CC"/>
        </w:rPr>
        <w:t xml:space="preserve"> msg.</w:t>
      </w:r>
    </w:p>
    <w:p w14:paraId="15B4B382" w14:textId="77777777" w:rsidR="00EA567C" w:rsidRDefault="00786B2D">
      <w:pPr>
        <w:pStyle w:val="a9"/>
        <w:numPr>
          <w:ilvl w:val="1"/>
          <w:numId w:val="30"/>
        </w:numPr>
        <w:spacing w:after="60"/>
        <w:contextualSpacing w:val="0"/>
        <w:jc w:val="both"/>
        <w:rPr>
          <w:color w:val="0000CC"/>
        </w:rPr>
      </w:pPr>
      <w:r>
        <w:rPr>
          <w:color w:val="0000CC"/>
        </w:rPr>
        <w:t>Whether and what new signaling exchange is required between anchor gNB and serving gNB to support the switching from SDT to RRC_CONECTED.</w:t>
      </w:r>
    </w:p>
    <w:p w14:paraId="15B4B383" w14:textId="77777777" w:rsidR="00EA567C" w:rsidRDefault="00786B2D">
      <w:pPr>
        <w:pStyle w:val="a9"/>
        <w:numPr>
          <w:ilvl w:val="1"/>
          <w:numId w:val="30"/>
        </w:numPr>
        <w:contextualSpacing w:val="0"/>
        <w:jc w:val="both"/>
        <w:rPr>
          <w:color w:val="0000CC"/>
        </w:rPr>
      </w:pPr>
      <w:r>
        <w:rPr>
          <w:color w:val="0000CC"/>
        </w:rPr>
        <w:t xml:space="preserve">Assuming that RAN2 confirms the following understanding in previous question </w:t>
      </w:r>
      <w:r>
        <w:rPr>
          <w:color w:val="0000CC"/>
        </w:rPr>
        <w:fldChar w:fldCharType="begin"/>
      </w:r>
      <w:r>
        <w:rPr>
          <w:color w:val="0000CC"/>
        </w:rPr>
        <w:instrText xml:space="preserve"> REF _Ref75148769 \r \h  \* MERGEFORMAT </w:instrText>
      </w:r>
      <w:r>
        <w:rPr>
          <w:color w:val="0000CC"/>
        </w:rPr>
      </w:r>
      <w:r>
        <w:rPr>
          <w:color w:val="0000CC"/>
        </w:rPr>
        <w:fldChar w:fldCharType="separate"/>
      </w:r>
      <w:r>
        <w:rPr>
          <w:color w:val="0000CC"/>
        </w:rPr>
        <w:t>Q.2)</w:t>
      </w:r>
      <w:r>
        <w:rPr>
          <w:color w:val="0000CC"/>
        </w:rPr>
        <w:fldChar w:fldCharType="end"/>
      </w:r>
      <w:r>
        <w:rPr>
          <w:color w:val="0000CC"/>
        </w:rPr>
        <w:t xml:space="preserve"> (i.e. “the scenario where anchor relocation is performed in the middle of an ongoing SDT session, the security key is updated”), to define a new mechanism that allows updating the security key when performing anchor relocation in the middle of an ongoing SDT session taken into consideration RAN2 related agreements (if any). </w:t>
      </w:r>
    </w:p>
    <w:tbl>
      <w:tblPr>
        <w:tblStyle w:val="ab"/>
        <w:tblW w:w="0" w:type="auto"/>
        <w:tblLook w:val="04A0" w:firstRow="1" w:lastRow="0" w:firstColumn="1" w:lastColumn="0" w:noHBand="0" w:noVBand="1"/>
      </w:tblPr>
      <w:tblGrid>
        <w:gridCol w:w="1975"/>
        <w:gridCol w:w="1620"/>
        <w:gridCol w:w="5755"/>
      </w:tblGrid>
      <w:tr w:rsidR="00EA567C" w14:paraId="15B4B388" w14:textId="77777777">
        <w:tc>
          <w:tcPr>
            <w:tcW w:w="1975" w:type="dxa"/>
            <w:shd w:val="clear" w:color="auto" w:fill="BFBFBF" w:themeFill="background1" w:themeFillShade="BF"/>
          </w:tcPr>
          <w:p w14:paraId="15B4B384" w14:textId="77777777" w:rsidR="00EA567C" w:rsidRDefault="00786B2D">
            <w:pPr>
              <w:spacing w:after="0"/>
              <w:jc w:val="center"/>
              <w:rPr>
                <w:b/>
                <w:bCs/>
              </w:rPr>
            </w:pPr>
            <w:r>
              <w:rPr>
                <w:b/>
                <w:bCs/>
              </w:rPr>
              <w:t>Company’s name</w:t>
            </w:r>
          </w:p>
        </w:tc>
        <w:tc>
          <w:tcPr>
            <w:tcW w:w="1620" w:type="dxa"/>
            <w:shd w:val="clear" w:color="auto" w:fill="BFBFBF" w:themeFill="background1" w:themeFillShade="BF"/>
          </w:tcPr>
          <w:p w14:paraId="15B4B385" w14:textId="77777777" w:rsidR="00EA567C" w:rsidRDefault="00786B2D">
            <w:pPr>
              <w:spacing w:after="0"/>
              <w:jc w:val="center"/>
              <w:rPr>
                <w:b/>
                <w:bCs/>
              </w:rPr>
            </w:pPr>
            <w:r>
              <w:rPr>
                <w:b/>
                <w:bCs/>
              </w:rPr>
              <w:t xml:space="preserve">Questions </w:t>
            </w:r>
            <w:r w:rsidRPr="00AE79EF">
              <w:rPr>
                <w:b/>
                <w:highlight w:val="yellow"/>
                <w:u w:val="single"/>
              </w:rPr>
              <w:t>not</w:t>
            </w:r>
            <w:r>
              <w:rPr>
                <w:b/>
                <w:bCs/>
              </w:rPr>
              <w:t xml:space="preserve"> to send to RAN3</w:t>
            </w:r>
          </w:p>
        </w:tc>
        <w:tc>
          <w:tcPr>
            <w:tcW w:w="5755" w:type="dxa"/>
            <w:shd w:val="clear" w:color="auto" w:fill="BFBFBF" w:themeFill="background1" w:themeFillShade="BF"/>
          </w:tcPr>
          <w:p w14:paraId="15B4B386" w14:textId="77777777" w:rsidR="00EA567C" w:rsidRDefault="00786B2D">
            <w:pPr>
              <w:spacing w:after="0"/>
              <w:jc w:val="center"/>
              <w:rPr>
                <w:b/>
                <w:bCs/>
              </w:rPr>
            </w:pPr>
            <w:r>
              <w:rPr>
                <w:b/>
                <w:bCs/>
              </w:rPr>
              <w:t xml:space="preserve">Company’s views on the questions </w:t>
            </w:r>
            <w:r>
              <w:rPr>
                <w:b/>
                <w:bCs/>
                <w:u w:val="single"/>
              </w:rPr>
              <w:t>not</w:t>
            </w:r>
            <w:r>
              <w:rPr>
                <w:b/>
                <w:bCs/>
              </w:rPr>
              <w:t xml:space="preserve"> to send to RAN3 or</w:t>
            </w:r>
          </w:p>
          <w:p w14:paraId="15B4B387" w14:textId="77777777" w:rsidR="00EA567C" w:rsidRDefault="00786B2D">
            <w:pPr>
              <w:spacing w:after="0"/>
              <w:jc w:val="center"/>
              <w:rPr>
                <w:b/>
                <w:bCs/>
              </w:rPr>
            </w:pPr>
            <w:r>
              <w:rPr>
                <w:b/>
                <w:bCs/>
              </w:rPr>
              <w:t xml:space="preserve"> new questions to RAN3 to consider</w:t>
            </w:r>
          </w:p>
        </w:tc>
      </w:tr>
      <w:tr w:rsidR="00EA567C" w14:paraId="15B4B391" w14:textId="77777777">
        <w:tc>
          <w:tcPr>
            <w:tcW w:w="1975" w:type="dxa"/>
          </w:tcPr>
          <w:p w14:paraId="15B4B389" w14:textId="77777777" w:rsidR="00EA567C" w:rsidRDefault="00786B2D">
            <w:pPr>
              <w:spacing w:after="0"/>
            </w:pPr>
            <w:r>
              <w:t>Huawei, HiSilicon</w:t>
            </w:r>
          </w:p>
        </w:tc>
        <w:tc>
          <w:tcPr>
            <w:tcW w:w="1620" w:type="dxa"/>
          </w:tcPr>
          <w:p w14:paraId="15B4B38A" w14:textId="77777777" w:rsidR="00EA567C" w:rsidRDefault="00786B2D">
            <w:pPr>
              <w:spacing w:after="0"/>
            </w:pPr>
            <w:r>
              <w:t>Q.4.1), Q.4.2), Q.4.3), Q.4.4), Q.4.6)</w:t>
            </w:r>
          </w:p>
        </w:tc>
        <w:tc>
          <w:tcPr>
            <w:tcW w:w="5755" w:type="dxa"/>
          </w:tcPr>
          <w:p w14:paraId="15B4B38B" w14:textId="77777777" w:rsidR="00EA567C" w:rsidRDefault="00786B2D">
            <w:pPr>
              <w:spacing w:after="0"/>
            </w:pPr>
            <w:r>
              <w:t>For Q.4.1) RAN3 already has a working assumption, so it seems there is no need to trigger this in RAN3:</w:t>
            </w:r>
          </w:p>
          <w:p w14:paraId="15B4B38C" w14:textId="77777777" w:rsidR="00EA567C" w:rsidRDefault="00786B2D">
            <w:pPr>
              <w:numPr>
                <w:ilvl w:val="0"/>
                <w:numId w:val="50"/>
              </w:numPr>
              <w:spacing w:after="0" w:line="240" w:lineRule="auto"/>
              <w:ind w:left="403"/>
              <w:textAlignment w:val="center"/>
              <w:rPr>
                <w:rFonts w:ascii="Calibri" w:eastAsia="Times New Roman" w:hAnsi="Calibri" w:cs="Calibri"/>
                <w:color w:val="000000"/>
                <w:lang w:eastAsia="zh-CN"/>
              </w:rPr>
            </w:pPr>
            <w:r>
              <w:rPr>
                <w:rFonts w:ascii="Calibri" w:eastAsia="Times New Roman" w:hAnsi="Calibri" w:cs="Calibri"/>
                <w:color w:val="000000"/>
                <w:lang w:eastAsia="zh-CN"/>
              </w:rPr>
              <w:t>WA: The last serving gNB, i.e., anchor gNB, will be the decision maker on whether to relocate anchor or not. Assistance information provided by the receiving gNB may help on the decision. Details of assistance information are pending future discussion.</w:t>
            </w:r>
          </w:p>
          <w:p w14:paraId="15B4B38D" w14:textId="77777777" w:rsidR="00EA567C" w:rsidRDefault="00EA567C">
            <w:pPr>
              <w:spacing w:after="0"/>
            </w:pPr>
          </w:p>
          <w:p w14:paraId="15B4B38E" w14:textId="77777777" w:rsidR="00EA567C" w:rsidRDefault="00786B2D">
            <w:pPr>
              <w:spacing w:after="0"/>
            </w:pPr>
            <w:r>
              <w:t xml:space="preserve">Q.4.2), Q.4.3), Q.4.4) and Q.4.6) are only relevant for RRCResume based approach and addressing all these issues may be complicated, especially if the security issue (related to Q.4.3)) would be confirmed by SA3. </w:t>
            </w:r>
          </w:p>
          <w:p w14:paraId="15B4B38F" w14:textId="77777777" w:rsidR="00EA567C" w:rsidRDefault="00EA567C">
            <w:pPr>
              <w:spacing w:after="0"/>
            </w:pPr>
          </w:p>
          <w:p w14:paraId="15B4B390" w14:textId="77777777" w:rsidR="00EA567C" w:rsidRDefault="00786B2D">
            <w:pPr>
              <w:spacing w:after="0"/>
            </w:pPr>
            <w:r>
              <w:t>Therefore, we think we can focus on asking RAN3 to study point Q.4.5). We can potentially list the approaches (RRCResume based and RRCRelease based) and issues discussed in this document and RAN3 can discuss the details.</w:t>
            </w:r>
          </w:p>
        </w:tc>
      </w:tr>
      <w:tr w:rsidR="00EA567C" w14:paraId="15B4B396" w14:textId="77777777">
        <w:trPr>
          <w:trHeight w:val="43"/>
        </w:trPr>
        <w:tc>
          <w:tcPr>
            <w:tcW w:w="1975" w:type="dxa"/>
          </w:tcPr>
          <w:p w14:paraId="15B4B392" w14:textId="77777777" w:rsidR="00EA567C" w:rsidRDefault="00786B2D">
            <w:pPr>
              <w:spacing w:after="0"/>
            </w:pPr>
            <w:r>
              <w:t>ZTE</w:t>
            </w:r>
          </w:p>
        </w:tc>
        <w:tc>
          <w:tcPr>
            <w:tcW w:w="1620" w:type="dxa"/>
          </w:tcPr>
          <w:p w14:paraId="15B4B393" w14:textId="77777777" w:rsidR="00EA567C" w:rsidRDefault="00786B2D">
            <w:pPr>
              <w:spacing w:after="0"/>
            </w:pPr>
            <w:r>
              <w:t>Probably no need to ask anything (but TBD based on actual solution chosen)</w:t>
            </w:r>
          </w:p>
        </w:tc>
        <w:tc>
          <w:tcPr>
            <w:tcW w:w="5755" w:type="dxa"/>
          </w:tcPr>
          <w:p w14:paraId="15B4B394" w14:textId="77777777" w:rsidR="00EA567C" w:rsidRDefault="00786B2D">
            <w:pPr>
              <w:spacing w:after="0"/>
            </w:pPr>
            <w:r>
              <w:t>We think we first need to discuss the solution details. Our preference is to agree a simple solution (e.g. based on RRCRelease per above) and if this is agreeable, then it is obvious that the anchor gNB (which has the security context) will perform the security protection of the RRCRelease message (this already happens today in case of RNAU without anchor relocation, so, we then expect no impact to RAN3 in this case actually from signalling perspective). So, the rest of the questions seems not really needed (i.e. we can simply inform RAN3 then of our decision)</w:t>
            </w:r>
          </w:p>
          <w:p w14:paraId="15B4B395" w14:textId="77777777" w:rsidR="00EA567C" w:rsidRDefault="00786B2D">
            <w:pPr>
              <w:spacing w:after="0"/>
            </w:pPr>
            <w:r>
              <w:lastRenderedPageBreak/>
              <w:t>If we agree some other more complex solution, then it seems we do need some more detailed communication with RAN3 (e.g. there could be some impact to E1 interface etc per above)</w:t>
            </w:r>
          </w:p>
        </w:tc>
      </w:tr>
      <w:tr w:rsidR="00EA567C" w14:paraId="15B4B39F" w14:textId="77777777">
        <w:trPr>
          <w:trHeight w:val="43"/>
        </w:trPr>
        <w:tc>
          <w:tcPr>
            <w:tcW w:w="1975" w:type="dxa"/>
          </w:tcPr>
          <w:p w14:paraId="15B4B397" w14:textId="77777777" w:rsidR="00EA567C" w:rsidRDefault="00786B2D">
            <w:pPr>
              <w:spacing w:after="0"/>
            </w:pPr>
            <w:r>
              <w:lastRenderedPageBreak/>
              <w:t>InterDigital</w:t>
            </w:r>
          </w:p>
        </w:tc>
        <w:tc>
          <w:tcPr>
            <w:tcW w:w="1620" w:type="dxa"/>
          </w:tcPr>
          <w:p w14:paraId="15B4B398" w14:textId="77777777" w:rsidR="00EA567C" w:rsidRDefault="00786B2D">
            <w:pPr>
              <w:spacing w:after="0"/>
            </w:pPr>
            <w:r>
              <w:t>Q.4.3)</w:t>
            </w:r>
          </w:p>
          <w:p w14:paraId="15B4B399" w14:textId="77777777" w:rsidR="00EA567C" w:rsidRDefault="00EA567C">
            <w:pPr>
              <w:spacing w:after="0"/>
            </w:pPr>
          </w:p>
          <w:p w14:paraId="15B4B39A" w14:textId="77777777" w:rsidR="00EA567C" w:rsidRDefault="00EA567C">
            <w:pPr>
              <w:spacing w:after="0"/>
            </w:pPr>
          </w:p>
          <w:p w14:paraId="15B4B39B" w14:textId="77777777" w:rsidR="00EA567C" w:rsidRDefault="00EA567C">
            <w:pPr>
              <w:spacing w:after="0"/>
            </w:pPr>
          </w:p>
          <w:p w14:paraId="15B4B39C" w14:textId="77777777" w:rsidR="00EA567C" w:rsidRDefault="00786B2D">
            <w:pPr>
              <w:spacing w:after="0"/>
            </w:pPr>
            <w:r>
              <w:t>Q.4.4)</w:t>
            </w:r>
          </w:p>
        </w:tc>
        <w:tc>
          <w:tcPr>
            <w:tcW w:w="5755" w:type="dxa"/>
          </w:tcPr>
          <w:p w14:paraId="15B4B39D" w14:textId="77777777" w:rsidR="00EA567C" w:rsidRDefault="00786B2D">
            <w:pPr>
              <w:spacing w:after="0"/>
            </w:pPr>
            <w:r>
              <w:t>We think ciphering can’t be applied for the 1</w:t>
            </w:r>
            <w:r>
              <w:rPr>
                <w:vertAlign w:val="superscript"/>
              </w:rPr>
              <w:t>st</w:t>
            </w:r>
            <w:r>
              <w:t xml:space="preserve"> DL message and the old key should be used for the integrity protection check for the 1</w:t>
            </w:r>
            <w:r>
              <w:rPr>
                <w:vertAlign w:val="superscript"/>
              </w:rPr>
              <w:t>st</w:t>
            </w:r>
            <w:r>
              <w:t xml:space="preserve"> DL message. Thus, the anchor node shall enforce the security. i.e. it’s not RAN3 issue.</w:t>
            </w:r>
          </w:p>
          <w:p w14:paraId="15B4B39E" w14:textId="77777777" w:rsidR="00EA567C" w:rsidRDefault="00786B2D">
            <w:pPr>
              <w:spacing w:after="0"/>
            </w:pPr>
            <w:r>
              <w:t>RAN2 should make a working assumption that the new serving gNB decodes the RRCResumeComplete msg and should tell our WA to RAN3 instead of just asking this question to RAN3.</w:t>
            </w:r>
          </w:p>
        </w:tc>
      </w:tr>
      <w:tr w:rsidR="00EA567C" w14:paraId="15B4B3A3" w14:textId="77777777">
        <w:tc>
          <w:tcPr>
            <w:tcW w:w="1975" w:type="dxa"/>
          </w:tcPr>
          <w:p w14:paraId="15B4B3A0" w14:textId="77777777" w:rsidR="00EA567C" w:rsidRDefault="00786B2D">
            <w:pPr>
              <w:spacing w:after="0"/>
            </w:pPr>
            <w:r>
              <w:t>CATT</w:t>
            </w:r>
          </w:p>
        </w:tc>
        <w:tc>
          <w:tcPr>
            <w:tcW w:w="1620" w:type="dxa"/>
          </w:tcPr>
          <w:p w14:paraId="15B4B3A1" w14:textId="77777777" w:rsidR="00EA567C" w:rsidRDefault="00786B2D">
            <w:pPr>
              <w:spacing w:after="0"/>
            </w:pPr>
            <w:r>
              <w:t>Q 4.6)</w:t>
            </w:r>
          </w:p>
        </w:tc>
        <w:tc>
          <w:tcPr>
            <w:tcW w:w="5755" w:type="dxa"/>
          </w:tcPr>
          <w:p w14:paraId="15B4B3A2" w14:textId="77777777" w:rsidR="00EA567C" w:rsidRDefault="00786B2D">
            <w:pPr>
              <w:spacing w:after="0"/>
            </w:pPr>
            <w:r>
              <w:t>We think we need to check with SA3 first about security issue, which also needs CC RAN3.</w:t>
            </w:r>
          </w:p>
        </w:tc>
      </w:tr>
      <w:tr w:rsidR="00EA567C" w14:paraId="15B4B3A7" w14:textId="77777777">
        <w:tc>
          <w:tcPr>
            <w:tcW w:w="1975" w:type="dxa"/>
          </w:tcPr>
          <w:p w14:paraId="15B4B3A4" w14:textId="77777777" w:rsidR="00EA567C" w:rsidRDefault="00786B2D">
            <w:pPr>
              <w:spacing w:after="0"/>
            </w:pPr>
            <w:r>
              <w:rPr>
                <w:rFonts w:eastAsiaTheme="minorEastAsia" w:hint="eastAsia"/>
              </w:rPr>
              <w:t>Samsung</w:t>
            </w:r>
          </w:p>
        </w:tc>
        <w:tc>
          <w:tcPr>
            <w:tcW w:w="1620" w:type="dxa"/>
          </w:tcPr>
          <w:p w14:paraId="15B4B3A5" w14:textId="77777777" w:rsidR="00EA567C" w:rsidRDefault="00786B2D">
            <w:pPr>
              <w:spacing w:after="0"/>
            </w:pPr>
            <w:r>
              <w:rPr>
                <w:rFonts w:eastAsiaTheme="minorEastAsia" w:hint="eastAsia"/>
              </w:rPr>
              <w:t>See comments</w:t>
            </w:r>
          </w:p>
        </w:tc>
        <w:tc>
          <w:tcPr>
            <w:tcW w:w="5755" w:type="dxa"/>
          </w:tcPr>
          <w:p w14:paraId="15B4B3A6" w14:textId="77777777" w:rsidR="00EA567C" w:rsidRDefault="00786B2D">
            <w:pPr>
              <w:spacing w:after="0"/>
            </w:pPr>
            <w:r>
              <w:rPr>
                <w:rFonts w:eastAsiaTheme="minorEastAsia" w:hint="eastAsia"/>
              </w:rPr>
              <w:t>Same view as ZTE</w:t>
            </w:r>
          </w:p>
        </w:tc>
      </w:tr>
      <w:tr w:rsidR="00EA567C" w14:paraId="15B4B3AF" w14:textId="77777777">
        <w:tc>
          <w:tcPr>
            <w:tcW w:w="1975" w:type="dxa"/>
          </w:tcPr>
          <w:p w14:paraId="15B4B3A8" w14:textId="77777777" w:rsidR="00EA567C" w:rsidRDefault="00786B2D">
            <w:pPr>
              <w:spacing w:after="0"/>
              <w:rPr>
                <w:rFonts w:eastAsiaTheme="minorEastAsia"/>
              </w:rPr>
            </w:pPr>
            <w:r>
              <w:rPr>
                <w:rFonts w:eastAsiaTheme="minorEastAsia" w:hint="eastAsia"/>
              </w:rPr>
              <w:t>Fujitsu</w:t>
            </w:r>
          </w:p>
        </w:tc>
        <w:tc>
          <w:tcPr>
            <w:tcW w:w="1620" w:type="dxa"/>
          </w:tcPr>
          <w:p w14:paraId="15B4B3A9" w14:textId="77777777" w:rsidR="00EA567C" w:rsidRDefault="00786B2D">
            <w:pPr>
              <w:spacing w:after="0"/>
              <w:rPr>
                <w:rFonts w:eastAsiaTheme="minorEastAsia"/>
              </w:rPr>
            </w:pPr>
            <w:r>
              <w:rPr>
                <w:rFonts w:eastAsiaTheme="minorEastAsia" w:hint="eastAsia"/>
              </w:rPr>
              <w:t>Q 4.1)</w:t>
            </w:r>
            <w:r>
              <w:rPr>
                <w:rFonts w:eastAsiaTheme="minorEastAsia"/>
              </w:rPr>
              <w:t xml:space="preserve"> – Q4.5)</w:t>
            </w:r>
          </w:p>
        </w:tc>
        <w:tc>
          <w:tcPr>
            <w:tcW w:w="5755" w:type="dxa"/>
          </w:tcPr>
          <w:p w14:paraId="15B4B3AA" w14:textId="77777777" w:rsidR="00EA567C" w:rsidRDefault="00786B2D">
            <w:pPr>
              <w:spacing w:after="0"/>
              <w:rPr>
                <w:rFonts w:eastAsiaTheme="minorEastAsia"/>
              </w:rPr>
            </w:pPr>
            <w:r>
              <w:t>We also think that we first need to discuss the solution details and no LS is needed for the moment</w:t>
            </w:r>
            <w:r>
              <w:rPr>
                <w:rFonts w:eastAsiaTheme="minorEastAsia"/>
              </w:rPr>
              <w:t>.</w:t>
            </w:r>
          </w:p>
          <w:p w14:paraId="15B4B3AB" w14:textId="77777777" w:rsidR="00EA567C" w:rsidRDefault="00786B2D">
            <w:pPr>
              <w:spacing w:after="0"/>
              <w:rPr>
                <w:rFonts w:eastAsiaTheme="minorEastAsia"/>
              </w:rPr>
            </w:pPr>
            <w:r>
              <w:rPr>
                <w:rFonts w:eastAsiaTheme="minorEastAsia"/>
              </w:rPr>
              <w:t xml:space="preserve">If RAN2 asked questions, </w:t>
            </w:r>
            <w:r>
              <w:rPr>
                <w:rFonts w:eastAsiaTheme="minorEastAsia" w:hint="eastAsia"/>
              </w:rPr>
              <w:t>Q 4.1)</w:t>
            </w:r>
            <w:r>
              <w:rPr>
                <w:rFonts w:eastAsiaTheme="minorEastAsia"/>
              </w:rPr>
              <w:t xml:space="preserve"> – Q4.5) are not needed.</w:t>
            </w:r>
          </w:p>
          <w:p w14:paraId="15B4B3AC" w14:textId="77777777" w:rsidR="00EA567C" w:rsidRDefault="00786B2D">
            <w:pPr>
              <w:spacing w:after="0"/>
              <w:rPr>
                <w:rFonts w:eastAsiaTheme="minorEastAsia"/>
              </w:rPr>
            </w:pPr>
            <w:r>
              <w:rPr>
                <w:rFonts w:eastAsiaTheme="minorEastAsia" w:hint="eastAsia"/>
              </w:rPr>
              <w:t xml:space="preserve">Given that </w:t>
            </w:r>
            <w:r>
              <w:rPr>
                <w:rFonts w:eastAsiaTheme="minorEastAsia"/>
              </w:rPr>
              <w:t xml:space="preserve">RAN3 agreed the WA regarding </w:t>
            </w:r>
            <w:r>
              <w:rPr>
                <w:rFonts w:eastAsiaTheme="minorEastAsia" w:hint="eastAsia"/>
              </w:rPr>
              <w:t>Q4.1)</w:t>
            </w:r>
            <w:r>
              <w:rPr>
                <w:rFonts w:eastAsiaTheme="minorEastAsia"/>
              </w:rPr>
              <w:t>, we understand that answers to Q4.2) – Q4.3) are clear, meaning it is anchor gNB. In addition, for Q4.4), like HO procedure, complete message is better to send serving gNB.</w:t>
            </w:r>
          </w:p>
          <w:p w14:paraId="15B4B3AD" w14:textId="77777777" w:rsidR="00EA567C" w:rsidRDefault="00786B2D">
            <w:pPr>
              <w:spacing w:after="0"/>
              <w:rPr>
                <w:rFonts w:eastAsiaTheme="minorEastAsia"/>
              </w:rPr>
            </w:pPr>
            <w:r>
              <w:rPr>
                <w:rFonts w:eastAsiaTheme="minorEastAsia"/>
              </w:rPr>
              <w:t>Q4.5) is anyway RAN3 working area and no need to be asked.</w:t>
            </w:r>
          </w:p>
          <w:p w14:paraId="15B4B3AE" w14:textId="77777777" w:rsidR="00EA567C" w:rsidRDefault="00786B2D">
            <w:pPr>
              <w:spacing w:after="0"/>
              <w:rPr>
                <w:rFonts w:eastAsiaTheme="minorEastAsia"/>
              </w:rPr>
            </w:pPr>
            <w:r>
              <w:rPr>
                <w:rFonts w:eastAsiaTheme="minorEastAsia"/>
              </w:rPr>
              <w:t>Q4.6) can be asked as CC, in the context of security handling LS (if sent) to SA3.</w:t>
            </w:r>
          </w:p>
        </w:tc>
      </w:tr>
      <w:tr w:rsidR="00EA567C" w14:paraId="15B4B3B3" w14:textId="77777777">
        <w:tc>
          <w:tcPr>
            <w:tcW w:w="1975" w:type="dxa"/>
          </w:tcPr>
          <w:p w14:paraId="15B4B3B0" w14:textId="77777777" w:rsidR="00EA567C" w:rsidRDefault="00786B2D">
            <w:pPr>
              <w:spacing w:after="0"/>
              <w:rPr>
                <w:rFonts w:eastAsia="Malgun Gothic"/>
                <w:lang w:eastAsia="ko-KR"/>
              </w:rPr>
            </w:pPr>
            <w:r>
              <w:rPr>
                <w:rFonts w:eastAsia="Malgun Gothic" w:hint="eastAsia"/>
                <w:lang w:eastAsia="ko-KR"/>
              </w:rPr>
              <w:t>LG</w:t>
            </w:r>
          </w:p>
        </w:tc>
        <w:tc>
          <w:tcPr>
            <w:tcW w:w="1620" w:type="dxa"/>
          </w:tcPr>
          <w:p w14:paraId="15B4B3B1" w14:textId="77777777" w:rsidR="00EA567C" w:rsidRDefault="00786B2D">
            <w:pPr>
              <w:spacing w:after="0"/>
              <w:rPr>
                <w:rFonts w:eastAsia="Malgun Gothic"/>
                <w:lang w:eastAsia="ko-KR"/>
              </w:rPr>
            </w:pPr>
            <w:r>
              <w:rPr>
                <w:rFonts w:eastAsia="Malgun Gothic" w:hint="eastAsia"/>
                <w:lang w:eastAsia="ko-KR"/>
              </w:rPr>
              <w:t>All</w:t>
            </w:r>
          </w:p>
        </w:tc>
        <w:tc>
          <w:tcPr>
            <w:tcW w:w="5755" w:type="dxa"/>
          </w:tcPr>
          <w:p w14:paraId="15B4B3B2" w14:textId="77777777" w:rsidR="00EA567C" w:rsidRDefault="00786B2D">
            <w:pPr>
              <w:spacing w:after="0"/>
              <w:rPr>
                <w:rFonts w:eastAsia="Malgun Gothic"/>
                <w:lang w:eastAsia="ko-KR"/>
              </w:rPr>
            </w:pPr>
            <w:r>
              <w:rPr>
                <w:rFonts w:eastAsia="Malgun Gothic" w:hint="eastAsia"/>
                <w:lang w:eastAsia="ko-KR"/>
              </w:rPr>
              <w:t xml:space="preserve">We can </w:t>
            </w:r>
            <w:r>
              <w:rPr>
                <w:rFonts w:eastAsia="Malgun Gothic"/>
                <w:lang w:eastAsia="ko-KR"/>
              </w:rPr>
              <w:t xml:space="preserve">just indicate that “it is allowed to switch from SDT to RRC_CONECTED during an ongoing SDT session where the UE context was not relocated by the network”, and </w:t>
            </w:r>
            <w:r>
              <w:rPr>
                <w:rFonts w:eastAsia="Malgun Gothic" w:hint="eastAsia"/>
                <w:lang w:eastAsia="ko-KR"/>
              </w:rPr>
              <w:t xml:space="preserve">leave all the related discussions to RAN3. </w:t>
            </w:r>
          </w:p>
        </w:tc>
      </w:tr>
      <w:tr w:rsidR="004505A3" w14:paraId="4507892D" w14:textId="77777777">
        <w:tc>
          <w:tcPr>
            <w:tcW w:w="1975" w:type="dxa"/>
          </w:tcPr>
          <w:p w14:paraId="1902DCA4" w14:textId="5B27BF97" w:rsidR="004505A3" w:rsidRDefault="004505A3" w:rsidP="004505A3">
            <w:pPr>
              <w:spacing w:after="0"/>
              <w:rPr>
                <w:rFonts w:eastAsia="Malgun Gothic"/>
                <w:lang w:eastAsia="ko-KR"/>
              </w:rPr>
            </w:pPr>
            <w:r>
              <w:t>Intel</w:t>
            </w:r>
          </w:p>
        </w:tc>
        <w:tc>
          <w:tcPr>
            <w:tcW w:w="1620" w:type="dxa"/>
          </w:tcPr>
          <w:p w14:paraId="1DD72D5D" w14:textId="1EEDEB42" w:rsidR="004505A3" w:rsidRDefault="004505A3" w:rsidP="004505A3">
            <w:pPr>
              <w:spacing w:after="0"/>
              <w:rPr>
                <w:rFonts w:eastAsia="Malgun Gothic"/>
                <w:lang w:eastAsia="ko-KR"/>
              </w:rPr>
            </w:pPr>
            <w:r>
              <w:t>-</w:t>
            </w:r>
          </w:p>
        </w:tc>
        <w:tc>
          <w:tcPr>
            <w:tcW w:w="5755" w:type="dxa"/>
          </w:tcPr>
          <w:p w14:paraId="28670FEE" w14:textId="77777777" w:rsidR="004505A3" w:rsidRDefault="004505A3" w:rsidP="004505A3">
            <w:pPr>
              <w:spacing w:after="0"/>
            </w:pPr>
            <w:r>
              <w:t>If (and only if) RAN2 agrees to enable the mechanism explained by option 1.b), we support that RAN2 flags all the identified points (Q.4.1 to Q.4.6) with RAN3 impacts even though they might be related to other mechanisms that RAN3 may be already working on.</w:t>
            </w:r>
          </w:p>
          <w:p w14:paraId="62F3FB96" w14:textId="14DAE5D8" w:rsidR="004505A3" w:rsidRDefault="004505A3" w:rsidP="004505A3">
            <w:pPr>
              <w:spacing w:after="0"/>
              <w:rPr>
                <w:rFonts w:eastAsia="Malgun Gothic"/>
                <w:lang w:eastAsia="ko-KR"/>
              </w:rPr>
            </w:pPr>
            <w:r>
              <w:t xml:space="preserve">RAN2 can also provide RAN2’s input on these questions where RAN2 can make a decision (as mentioned by InterDigital). </w:t>
            </w:r>
          </w:p>
        </w:tc>
      </w:tr>
      <w:tr w:rsidR="00D56910" w14:paraId="2699ED42" w14:textId="77777777">
        <w:tc>
          <w:tcPr>
            <w:tcW w:w="1975" w:type="dxa"/>
          </w:tcPr>
          <w:p w14:paraId="724D90B9" w14:textId="3AD57839" w:rsidR="00D56910" w:rsidRDefault="00D56910" w:rsidP="00D56910">
            <w:pPr>
              <w:spacing w:after="0"/>
            </w:pPr>
            <w:r>
              <w:rPr>
                <w:rFonts w:hint="eastAsia"/>
                <w:lang w:eastAsia="zh-CN"/>
              </w:rPr>
              <w:t>N</w:t>
            </w:r>
            <w:r>
              <w:rPr>
                <w:lang w:eastAsia="zh-CN"/>
              </w:rPr>
              <w:t>EC</w:t>
            </w:r>
          </w:p>
        </w:tc>
        <w:tc>
          <w:tcPr>
            <w:tcW w:w="1620" w:type="dxa"/>
          </w:tcPr>
          <w:p w14:paraId="24B5EF69" w14:textId="78E3BC3C" w:rsidR="00D56910" w:rsidRDefault="00D56910" w:rsidP="00D56910">
            <w:pPr>
              <w:spacing w:after="0"/>
            </w:pPr>
            <w:r>
              <w:rPr>
                <w:rFonts w:eastAsiaTheme="minorEastAsia" w:hint="eastAsia"/>
              </w:rPr>
              <w:t>Q 4.1)</w:t>
            </w:r>
            <w:r>
              <w:rPr>
                <w:rFonts w:eastAsiaTheme="minorEastAsia"/>
              </w:rPr>
              <w:t xml:space="preserve"> – Q4.5)</w:t>
            </w:r>
            <w:r>
              <w:t>)</w:t>
            </w:r>
          </w:p>
        </w:tc>
        <w:tc>
          <w:tcPr>
            <w:tcW w:w="5755" w:type="dxa"/>
          </w:tcPr>
          <w:p w14:paraId="70574B06" w14:textId="77777777" w:rsidR="00D56910" w:rsidRPr="00A51A97" w:rsidRDefault="00D56910" w:rsidP="00D56910">
            <w:pPr>
              <w:spacing w:after="0"/>
              <w:rPr>
                <w:rFonts w:eastAsiaTheme="minorEastAsia"/>
              </w:rPr>
            </w:pPr>
            <w:r>
              <w:t xml:space="preserve">Q.4.1), RAN3 already has a working assumption </w:t>
            </w:r>
            <w:r>
              <w:rPr>
                <w:rFonts w:hint="eastAsia"/>
                <w:lang w:eastAsia="zh-CN"/>
              </w:rPr>
              <w:t>o</w:t>
            </w:r>
            <w:r>
              <w:rPr>
                <w:lang w:eastAsia="zh-CN"/>
              </w:rPr>
              <w:t>n this.</w:t>
            </w:r>
          </w:p>
          <w:p w14:paraId="5FE60C6E" w14:textId="77777777" w:rsidR="00D56910" w:rsidRDefault="00D56910" w:rsidP="00D56910">
            <w:pPr>
              <w:spacing w:after="0"/>
            </w:pPr>
            <w:r>
              <w:t xml:space="preserve">Q.4.2), Q.4.3), Q.4.4), and Q.4.5), we think we should firstly ask RAN3 if the scenario of </w:t>
            </w:r>
            <w:r w:rsidRPr="007E4545">
              <w:t>switching from SDT to RRC_CONECTED</w:t>
            </w:r>
            <w:r>
              <w:t xml:space="preserve"> during SDT without anchor relocation can be supported in this release.</w:t>
            </w:r>
          </w:p>
          <w:p w14:paraId="72AE5FB1" w14:textId="1777BD7E" w:rsidR="00D56910" w:rsidRDefault="00D56910" w:rsidP="00D56910">
            <w:pPr>
              <w:spacing w:after="0"/>
            </w:pPr>
            <w:r>
              <w:rPr>
                <w:rFonts w:hint="eastAsia"/>
                <w:lang w:eastAsia="zh-CN"/>
              </w:rPr>
              <w:t>Q</w:t>
            </w:r>
            <w:r>
              <w:rPr>
                <w:lang w:eastAsia="zh-CN"/>
              </w:rPr>
              <w:t xml:space="preserve"> 4.6), if the scenario is confirmed by RAN3, this question should be SA3 to decided, we don’t think RAN3 can provide any help.</w:t>
            </w:r>
          </w:p>
        </w:tc>
      </w:tr>
    </w:tbl>
    <w:p w14:paraId="15B4B3B4" w14:textId="77777777" w:rsidR="00EA567C" w:rsidRDefault="00EA567C">
      <w:pPr>
        <w:rPr>
          <w:lang w:val="x-none" w:eastAsia="x-none"/>
        </w:rPr>
      </w:pPr>
    </w:p>
    <w:p w14:paraId="15B4B3B5" w14:textId="77777777" w:rsidR="00EA567C" w:rsidRDefault="00786B2D">
      <w:pPr>
        <w:pStyle w:val="5"/>
        <w:rPr>
          <w:b/>
          <w:color w:val="0000CC"/>
        </w:rPr>
      </w:pPr>
      <w:r>
        <w:rPr>
          <w:b/>
          <w:color w:val="0000CC"/>
          <w:lang w:val="en-US"/>
        </w:rPr>
        <w:fldChar w:fldCharType="begin"/>
      </w:r>
      <w:r>
        <w:rPr>
          <w:b/>
          <w:color w:val="0000CC"/>
          <w:lang w:val="en-US"/>
        </w:rPr>
        <w:instrText xml:space="preserve"> REF _Ref75224616 \r \h </w:instrText>
      </w:r>
      <w:r>
        <w:rPr>
          <w:b/>
          <w:color w:val="0000CC"/>
          <w:lang w:val="en-US"/>
        </w:rPr>
      </w:r>
      <w:r>
        <w:rPr>
          <w:b/>
          <w:color w:val="0000CC"/>
          <w:lang w:val="en-US"/>
        </w:rPr>
        <w:fldChar w:fldCharType="separate"/>
      </w:r>
      <w:r>
        <w:rPr>
          <w:b/>
          <w:color w:val="0000CC"/>
          <w:lang w:val="en-US"/>
        </w:rPr>
        <w:t>Q.5)</w:t>
      </w:r>
      <w:r>
        <w:rPr>
          <w:b/>
          <w:color w:val="0000CC"/>
          <w:lang w:val="en-US"/>
        </w:rPr>
        <w:fldChar w:fldCharType="end"/>
      </w:r>
      <w:r>
        <w:rPr>
          <w:b/>
          <w:color w:val="0000CC"/>
          <w:lang w:val="en-US"/>
        </w:rPr>
        <w:t xml:space="preserve"> </w:t>
      </w:r>
      <w:r>
        <w:rPr>
          <w:b/>
          <w:color w:val="0000CC"/>
        </w:rPr>
        <w:t>for 2</w:t>
      </w:r>
      <w:r>
        <w:rPr>
          <w:b/>
          <w:color w:val="0000CC"/>
          <w:vertAlign w:val="superscript"/>
        </w:rPr>
        <w:t>nd</w:t>
      </w:r>
      <w:r>
        <w:rPr>
          <w:b/>
          <w:color w:val="0000CC"/>
        </w:rPr>
        <w:t xml:space="preserve"> Phase</w:t>
      </w:r>
    </w:p>
    <w:p w14:paraId="15B4B3B6" w14:textId="77777777" w:rsidR="00EA567C" w:rsidRDefault="00786B2D">
      <w:pPr>
        <w:pStyle w:val="a9"/>
        <w:numPr>
          <w:ilvl w:val="0"/>
          <w:numId w:val="30"/>
        </w:numPr>
        <w:overflowPunct/>
        <w:autoSpaceDE/>
        <w:autoSpaceDN/>
        <w:adjustRightInd/>
        <w:spacing w:after="120" w:line="259" w:lineRule="auto"/>
        <w:contextualSpacing w:val="0"/>
        <w:jc w:val="both"/>
        <w:rPr>
          <w:color w:val="0000CC"/>
        </w:rPr>
      </w:pPr>
      <w:bookmarkStart w:id="39" w:name="_Ref75224616"/>
      <w:r>
        <w:rPr>
          <w:color w:val="0000CC"/>
        </w:rPr>
        <w:t xml:space="preserve">The following questions/points are suggested to be asked/informed to </w:t>
      </w:r>
      <w:r>
        <w:rPr>
          <w:b/>
          <w:bCs/>
          <w:color w:val="0000CC"/>
        </w:rPr>
        <w:t>SA3</w:t>
      </w:r>
      <w:r>
        <w:rPr>
          <w:color w:val="0000CC"/>
        </w:rPr>
        <w:t xml:space="preserve"> in order to enable a </w:t>
      </w:r>
      <w:r>
        <w:rPr>
          <w:iCs/>
          <w:color w:val="0000CC"/>
        </w:rPr>
        <w:t>new mechanism that allows the</w:t>
      </w:r>
      <w:r>
        <w:rPr>
          <w:color w:val="0000CC"/>
        </w:rPr>
        <w:t xml:space="preserve"> switching from SDT to RRC_CONECTED during an ongoing SDT session where the UE context was </w:t>
      </w:r>
      <w:r>
        <w:rPr>
          <w:color w:val="0000CC"/>
          <w:u w:val="single"/>
        </w:rPr>
        <w:t>not</w:t>
      </w:r>
      <w:r>
        <w:rPr>
          <w:color w:val="0000CC"/>
        </w:rPr>
        <w:t xml:space="preserve"> initially relocated by the network during SDT (as explained in </w:t>
      </w:r>
      <w:r>
        <w:rPr>
          <w:b/>
          <w:bCs/>
          <w:color w:val="0000CC"/>
        </w:rPr>
        <w:t>previous option 1.b</w:t>
      </w:r>
      <w:r>
        <w:rPr>
          <w:color w:val="0000CC"/>
        </w:rPr>
        <w:t>). Please indicate if you do not agree to include any of them and/or if you propose new questions to share with SA3.</w:t>
      </w:r>
      <w:bookmarkEnd w:id="39"/>
    </w:p>
    <w:p w14:paraId="15B4B3B7" w14:textId="77777777" w:rsidR="00EA567C" w:rsidRDefault="00786B2D">
      <w:pPr>
        <w:pStyle w:val="a9"/>
        <w:numPr>
          <w:ilvl w:val="1"/>
          <w:numId w:val="30"/>
        </w:numPr>
        <w:overflowPunct/>
        <w:autoSpaceDE/>
        <w:autoSpaceDN/>
        <w:adjustRightInd/>
        <w:spacing w:after="120" w:line="259" w:lineRule="auto"/>
        <w:contextualSpacing w:val="0"/>
        <w:jc w:val="both"/>
        <w:rPr>
          <w:color w:val="0000CC"/>
        </w:rPr>
      </w:pPr>
      <w:r>
        <w:rPr>
          <w:color w:val="0000CC"/>
        </w:rPr>
        <w:t xml:space="preserve">How to ensure the security key separation between two different gNBs after moving into CONNECTED needs to be resolved (taking into account views provided on Q.3)) </w:t>
      </w:r>
    </w:p>
    <w:tbl>
      <w:tblPr>
        <w:tblStyle w:val="ab"/>
        <w:tblW w:w="0" w:type="auto"/>
        <w:tblLook w:val="04A0" w:firstRow="1" w:lastRow="0" w:firstColumn="1" w:lastColumn="0" w:noHBand="0" w:noVBand="1"/>
      </w:tblPr>
      <w:tblGrid>
        <w:gridCol w:w="1975"/>
        <w:gridCol w:w="1620"/>
        <w:gridCol w:w="5755"/>
      </w:tblGrid>
      <w:tr w:rsidR="00EA567C" w14:paraId="15B4B3BC" w14:textId="77777777">
        <w:tc>
          <w:tcPr>
            <w:tcW w:w="1975" w:type="dxa"/>
            <w:shd w:val="clear" w:color="auto" w:fill="BFBFBF" w:themeFill="background1" w:themeFillShade="BF"/>
          </w:tcPr>
          <w:p w14:paraId="15B4B3B8" w14:textId="77777777" w:rsidR="00EA567C" w:rsidRDefault="00786B2D">
            <w:pPr>
              <w:spacing w:after="0"/>
              <w:jc w:val="center"/>
              <w:rPr>
                <w:b/>
                <w:bCs/>
              </w:rPr>
            </w:pPr>
            <w:r>
              <w:rPr>
                <w:b/>
                <w:bCs/>
              </w:rPr>
              <w:lastRenderedPageBreak/>
              <w:t>Company’s name</w:t>
            </w:r>
          </w:p>
        </w:tc>
        <w:tc>
          <w:tcPr>
            <w:tcW w:w="1620" w:type="dxa"/>
            <w:shd w:val="clear" w:color="auto" w:fill="BFBFBF" w:themeFill="background1" w:themeFillShade="BF"/>
          </w:tcPr>
          <w:p w14:paraId="15B4B3B9" w14:textId="77777777" w:rsidR="00EA567C" w:rsidRDefault="00786B2D">
            <w:pPr>
              <w:spacing w:after="0"/>
              <w:jc w:val="center"/>
              <w:rPr>
                <w:b/>
                <w:bCs/>
              </w:rPr>
            </w:pPr>
            <w:r>
              <w:rPr>
                <w:b/>
                <w:bCs/>
              </w:rPr>
              <w:t xml:space="preserve">Questions </w:t>
            </w:r>
            <w:r w:rsidRPr="00AE79EF">
              <w:rPr>
                <w:b/>
                <w:highlight w:val="yellow"/>
                <w:u w:val="single"/>
              </w:rPr>
              <w:t>not</w:t>
            </w:r>
            <w:r>
              <w:rPr>
                <w:b/>
                <w:bCs/>
              </w:rPr>
              <w:t xml:space="preserve"> to send to SA3</w:t>
            </w:r>
          </w:p>
        </w:tc>
        <w:tc>
          <w:tcPr>
            <w:tcW w:w="5755" w:type="dxa"/>
            <w:shd w:val="clear" w:color="auto" w:fill="BFBFBF" w:themeFill="background1" w:themeFillShade="BF"/>
          </w:tcPr>
          <w:p w14:paraId="15B4B3BA" w14:textId="77777777" w:rsidR="00EA567C" w:rsidRDefault="00786B2D">
            <w:pPr>
              <w:spacing w:after="0"/>
              <w:jc w:val="center"/>
              <w:rPr>
                <w:b/>
                <w:bCs/>
              </w:rPr>
            </w:pPr>
            <w:r>
              <w:rPr>
                <w:b/>
                <w:bCs/>
              </w:rPr>
              <w:t xml:space="preserve">Company’s views on the questions </w:t>
            </w:r>
            <w:r>
              <w:rPr>
                <w:b/>
                <w:bCs/>
                <w:u w:val="single"/>
              </w:rPr>
              <w:t>not</w:t>
            </w:r>
            <w:r>
              <w:rPr>
                <w:b/>
                <w:bCs/>
              </w:rPr>
              <w:t xml:space="preserve"> to send to SA3 or</w:t>
            </w:r>
          </w:p>
          <w:p w14:paraId="15B4B3BB" w14:textId="77777777" w:rsidR="00EA567C" w:rsidRDefault="00786B2D">
            <w:pPr>
              <w:spacing w:after="0"/>
              <w:jc w:val="center"/>
              <w:rPr>
                <w:b/>
                <w:bCs/>
              </w:rPr>
            </w:pPr>
            <w:r>
              <w:rPr>
                <w:b/>
                <w:bCs/>
              </w:rPr>
              <w:t>additional new questions to SA3 to consider</w:t>
            </w:r>
          </w:p>
        </w:tc>
      </w:tr>
      <w:tr w:rsidR="00EA567C" w14:paraId="15B4B3C0" w14:textId="77777777">
        <w:tc>
          <w:tcPr>
            <w:tcW w:w="1975" w:type="dxa"/>
          </w:tcPr>
          <w:p w14:paraId="15B4B3BD" w14:textId="77777777" w:rsidR="00EA567C" w:rsidRDefault="00786B2D">
            <w:pPr>
              <w:spacing w:after="0"/>
            </w:pPr>
            <w:r>
              <w:t>Huawei, HiSilicon</w:t>
            </w:r>
          </w:p>
        </w:tc>
        <w:tc>
          <w:tcPr>
            <w:tcW w:w="1620" w:type="dxa"/>
          </w:tcPr>
          <w:p w14:paraId="15B4B3BE" w14:textId="77777777" w:rsidR="00EA567C" w:rsidRDefault="00786B2D">
            <w:pPr>
              <w:spacing w:after="0"/>
            </w:pPr>
            <w:r>
              <w:t>Q.5.1) (in this form at least)</w:t>
            </w:r>
          </w:p>
        </w:tc>
        <w:tc>
          <w:tcPr>
            <w:tcW w:w="5755" w:type="dxa"/>
          </w:tcPr>
          <w:p w14:paraId="15B4B3BF" w14:textId="77777777" w:rsidR="00EA567C" w:rsidRDefault="00786B2D">
            <w:pPr>
              <w:spacing w:after="0"/>
            </w:pPr>
            <w:r>
              <w:t xml:space="preserve">After moving the UE to RRC Connected, the new gNB can update the security keys by performing reconfiguration with sync and using a new NCC from AMF received during Path Switch procedure. We think we may rather ask the questions similar to the one in Q2), i.e.: whether it is acceptable to use current UE’s K_RRC key for sending RRCResume message from the serving gNB to the UE for the scenario where anchor relocation is performed in the middle of an ongoing SDT session. However, as we note above, an alternative approach is to terminate an SDT procedure when the anchor needs to be relocated in the middle of SDT procedure and let the UE trigger a new connection resume. This way security issues are avoided and there is no need to involve SA3 at all. </w:t>
            </w:r>
          </w:p>
        </w:tc>
      </w:tr>
      <w:tr w:rsidR="00EA567C" w14:paraId="15B4B3C5" w14:textId="77777777">
        <w:trPr>
          <w:trHeight w:val="43"/>
        </w:trPr>
        <w:tc>
          <w:tcPr>
            <w:tcW w:w="1975" w:type="dxa"/>
          </w:tcPr>
          <w:p w14:paraId="15B4B3C1" w14:textId="77777777" w:rsidR="00EA567C" w:rsidRDefault="00786B2D">
            <w:pPr>
              <w:spacing w:after="0"/>
            </w:pPr>
            <w:r>
              <w:t>ZTE</w:t>
            </w:r>
          </w:p>
        </w:tc>
        <w:tc>
          <w:tcPr>
            <w:tcW w:w="1620" w:type="dxa"/>
          </w:tcPr>
          <w:p w14:paraId="15B4B3C2" w14:textId="77777777" w:rsidR="00EA567C" w:rsidRDefault="00786B2D">
            <w:pPr>
              <w:spacing w:after="0"/>
            </w:pPr>
            <w:r>
              <w:t>Probably no need to contact SA3 (TBD based on actual chosen solution)</w:t>
            </w:r>
          </w:p>
        </w:tc>
        <w:tc>
          <w:tcPr>
            <w:tcW w:w="5755" w:type="dxa"/>
          </w:tcPr>
          <w:p w14:paraId="15B4B3C3" w14:textId="77777777" w:rsidR="00EA567C" w:rsidRDefault="00786B2D">
            <w:pPr>
              <w:spacing w:after="0"/>
            </w:pPr>
            <w:r>
              <w:t>Again, we think that if we go with the approach of RRCRelease based solution, then we don’t really need to ask SA3 anything. (Since this is same as the tunneled RRCRelease message in case of RNAU without anchor change). For Rel-17 this seems sufficient.</w:t>
            </w:r>
          </w:p>
          <w:p w14:paraId="15B4B3C4" w14:textId="77777777" w:rsidR="00EA567C" w:rsidRDefault="00786B2D">
            <w:pPr>
              <w:spacing w:after="0"/>
            </w:pPr>
            <w:r>
              <w:t xml:space="preserve">If we support a solution where the UE directly moves to RRCConnected state, then we need some new handling and this needs further discussion </w:t>
            </w:r>
            <w:r>
              <w:rPr>
                <w:highlight w:val="yellow"/>
              </w:rPr>
              <w:t>(details TBD)</w:t>
            </w:r>
          </w:p>
        </w:tc>
      </w:tr>
      <w:tr w:rsidR="00EA567C" w14:paraId="15B4B3C9" w14:textId="77777777">
        <w:trPr>
          <w:trHeight w:val="43"/>
        </w:trPr>
        <w:tc>
          <w:tcPr>
            <w:tcW w:w="1975" w:type="dxa"/>
          </w:tcPr>
          <w:p w14:paraId="15B4B3C6" w14:textId="77777777" w:rsidR="00EA567C" w:rsidRDefault="00786B2D">
            <w:pPr>
              <w:spacing w:after="0"/>
            </w:pPr>
            <w:r>
              <w:t>InterDigital</w:t>
            </w:r>
          </w:p>
        </w:tc>
        <w:tc>
          <w:tcPr>
            <w:tcW w:w="1620" w:type="dxa"/>
          </w:tcPr>
          <w:p w14:paraId="15B4B3C7" w14:textId="77777777" w:rsidR="00EA567C" w:rsidRDefault="00786B2D">
            <w:pPr>
              <w:spacing w:after="0"/>
            </w:pPr>
            <w:r>
              <w:t>-</w:t>
            </w:r>
          </w:p>
        </w:tc>
        <w:tc>
          <w:tcPr>
            <w:tcW w:w="5755" w:type="dxa"/>
          </w:tcPr>
          <w:p w14:paraId="15B4B3C8" w14:textId="77777777" w:rsidR="00EA567C" w:rsidRDefault="00786B2D">
            <w:pPr>
              <w:spacing w:after="0"/>
            </w:pPr>
            <w:r>
              <w:t>We are fine to send the query to SA3 with taking into account the Q.3’s RAN2 conclusion.</w:t>
            </w:r>
          </w:p>
        </w:tc>
      </w:tr>
      <w:tr w:rsidR="00EA567C" w14:paraId="15B4B3CD" w14:textId="77777777">
        <w:tc>
          <w:tcPr>
            <w:tcW w:w="1975" w:type="dxa"/>
          </w:tcPr>
          <w:p w14:paraId="15B4B3CA" w14:textId="77777777" w:rsidR="00EA567C" w:rsidRDefault="00786B2D">
            <w:pPr>
              <w:spacing w:after="0"/>
            </w:pPr>
            <w:r>
              <w:rPr>
                <w:rFonts w:eastAsiaTheme="minorEastAsia" w:hint="eastAsia"/>
              </w:rPr>
              <w:t>Samsung</w:t>
            </w:r>
          </w:p>
        </w:tc>
        <w:tc>
          <w:tcPr>
            <w:tcW w:w="1620" w:type="dxa"/>
          </w:tcPr>
          <w:p w14:paraId="15B4B3CB" w14:textId="77777777" w:rsidR="00EA567C" w:rsidRDefault="00786B2D">
            <w:pPr>
              <w:spacing w:after="0"/>
            </w:pPr>
            <w:r>
              <w:rPr>
                <w:rFonts w:eastAsiaTheme="minorEastAsia" w:hint="eastAsia"/>
              </w:rPr>
              <w:t>See comment</w:t>
            </w:r>
          </w:p>
        </w:tc>
        <w:tc>
          <w:tcPr>
            <w:tcW w:w="5755" w:type="dxa"/>
          </w:tcPr>
          <w:p w14:paraId="15B4B3CC" w14:textId="77777777" w:rsidR="00EA567C" w:rsidRDefault="00786B2D">
            <w:pPr>
              <w:spacing w:after="0"/>
            </w:pPr>
            <w:r>
              <w:t>Ask the question similar to the one in Q2), i.e.: whether it is acceptable to use current UE’s K_RRC key for sending RRCResume message from the serving gNB to the UE for the scenario where anchor relocation is performed in the middle of an ongoing SDT session.</w:t>
            </w:r>
          </w:p>
        </w:tc>
      </w:tr>
      <w:tr w:rsidR="00EA567C" w14:paraId="15B4B3D2" w14:textId="77777777">
        <w:tc>
          <w:tcPr>
            <w:tcW w:w="1975" w:type="dxa"/>
          </w:tcPr>
          <w:p w14:paraId="15B4B3CE" w14:textId="77777777" w:rsidR="00EA567C" w:rsidRDefault="00786B2D">
            <w:pPr>
              <w:spacing w:after="0"/>
              <w:rPr>
                <w:rFonts w:eastAsiaTheme="minorEastAsia"/>
              </w:rPr>
            </w:pPr>
            <w:r>
              <w:rPr>
                <w:rFonts w:eastAsiaTheme="minorEastAsia" w:hint="eastAsia"/>
              </w:rPr>
              <w:t>Fujitsu</w:t>
            </w:r>
          </w:p>
        </w:tc>
        <w:tc>
          <w:tcPr>
            <w:tcW w:w="1620" w:type="dxa"/>
          </w:tcPr>
          <w:p w14:paraId="15B4B3CF" w14:textId="77777777" w:rsidR="00EA567C" w:rsidRDefault="00786B2D">
            <w:pPr>
              <w:spacing w:after="0"/>
              <w:rPr>
                <w:rFonts w:eastAsiaTheme="minorEastAsia"/>
              </w:rPr>
            </w:pPr>
            <w:r>
              <w:rPr>
                <w:rFonts w:eastAsiaTheme="minorEastAsia" w:hint="eastAsia"/>
              </w:rPr>
              <w:t>Q5.1</w:t>
            </w:r>
          </w:p>
        </w:tc>
        <w:tc>
          <w:tcPr>
            <w:tcW w:w="5755" w:type="dxa"/>
          </w:tcPr>
          <w:p w14:paraId="15B4B3D0" w14:textId="77777777" w:rsidR="00EA567C" w:rsidRDefault="00786B2D">
            <w:pPr>
              <w:spacing w:after="0"/>
              <w:rPr>
                <w:rFonts w:eastAsiaTheme="minorEastAsia"/>
              </w:rPr>
            </w:pPr>
            <w:r>
              <w:t>We also think that we first need to discuss the solution details and no LS is needed for the moment</w:t>
            </w:r>
            <w:r>
              <w:rPr>
                <w:rFonts w:eastAsiaTheme="minorEastAsia"/>
              </w:rPr>
              <w:t>.</w:t>
            </w:r>
          </w:p>
          <w:p w14:paraId="15B4B3D1" w14:textId="77777777" w:rsidR="00EA567C" w:rsidRDefault="00786B2D">
            <w:pPr>
              <w:spacing w:after="0"/>
            </w:pPr>
            <w:r>
              <w:rPr>
                <w:rFonts w:eastAsiaTheme="minorEastAsia"/>
              </w:rPr>
              <w:t xml:space="preserve">If RAN2 asked questions, </w:t>
            </w:r>
            <w:r>
              <w:rPr>
                <w:rFonts w:eastAsiaTheme="minorEastAsia" w:hint="eastAsia"/>
              </w:rPr>
              <w:t xml:space="preserve">Q5.1) could be ok but detailed </w:t>
            </w:r>
            <w:r>
              <w:rPr>
                <w:rFonts w:eastAsiaTheme="minorEastAsia"/>
              </w:rPr>
              <w:t>content</w:t>
            </w:r>
            <w:r>
              <w:rPr>
                <w:rFonts w:eastAsiaTheme="minorEastAsia" w:hint="eastAsia"/>
              </w:rPr>
              <w:t>s need discussions.</w:t>
            </w:r>
          </w:p>
        </w:tc>
      </w:tr>
      <w:tr w:rsidR="00EA567C" w14:paraId="15B4B3D6" w14:textId="77777777">
        <w:tc>
          <w:tcPr>
            <w:tcW w:w="1975" w:type="dxa"/>
          </w:tcPr>
          <w:p w14:paraId="15B4B3D3" w14:textId="77777777" w:rsidR="00EA567C" w:rsidRDefault="00786B2D">
            <w:pPr>
              <w:spacing w:after="0"/>
              <w:rPr>
                <w:rFonts w:eastAsia="Malgun Gothic"/>
                <w:lang w:eastAsia="ko-KR"/>
              </w:rPr>
            </w:pPr>
            <w:r>
              <w:rPr>
                <w:rFonts w:eastAsia="Malgun Gothic" w:hint="eastAsia"/>
                <w:lang w:eastAsia="ko-KR"/>
              </w:rPr>
              <w:t>LG</w:t>
            </w:r>
          </w:p>
        </w:tc>
        <w:tc>
          <w:tcPr>
            <w:tcW w:w="1620" w:type="dxa"/>
          </w:tcPr>
          <w:p w14:paraId="15B4B3D4" w14:textId="77777777" w:rsidR="00EA567C" w:rsidRDefault="00786B2D">
            <w:pPr>
              <w:spacing w:after="0"/>
              <w:rPr>
                <w:rFonts w:eastAsia="Malgun Gothic"/>
                <w:lang w:eastAsia="ko-KR"/>
              </w:rPr>
            </w:pPr>
            <w:r>
              <w:rPr>
                <w:rFonts w:eastAsia="Malgun Gothic" w:hint="eastAsia"/>
                <w:lang w:eastAsia="ko-KR"/>
              </w:rPr>
              <w:t>All</w:t>
            </w:r>
          </w:p>
        </w:tc>
        <w:tc>
          <w:tcPr>
            <w:tcW w:w="5755" w:type="dxa"/>
          </w:tcPr>
          <w:p w14:paraId="15B4B3D5" w14:textId="77777777" w:rsidR="00EA567C" w:rsidRDefault="00786B2D">
            <w:pPr>
              <w:spacing w:after="0"/>
              <w:rPr>
                <w:rFonts w:eastAsia="Malgun Gothic"/>
                <w:lang w:eastAsia="ko-KR"/>
              </w:rPr>
            </w:pPr>
            <w:r>
              <w:rPr>
                <w:rFonts w:eastAsia="Malgun Gothic" w:hint="eastAsia"/>
                <w:lang w:eastAsia="ko-KR"/>
              </w:rPr>
              <w:t>We don</w:t>
            </w:r>
            <w:r>
              <w:rPr>
                <w:rFonts w:eastAsia="Malgun Gothic"/>
                <w:lang w:eastAsia="ko-KR"/>
              </w:rPr>
              <w:t>’t need to ask SA3 on</w:t>
            </w:r>
            <w:r>
              <w:t xml:space="preserve"> </w:t>
            </w:r>
            <w:r>
              <w:rPr>
                <w:rFonts w:eastAsia="Malgun Gothic"/>
                <w:lang w:eastAsia="ko-KR"/>
              </w:rPr>
              <w:t xml:space="preserve">security key separation between two different gNBs. As Huawei mentioned, it is enough to ask </w:t>
            </w:r>
            <w:r>
              <w:t>whether it is acceptable to use current security key for sending RRCResume message from the serving gNB to the UE.</w:t>
            </w:r>
          </w:p>
        </w:tc>
      </w:tr>
      <w:tr w:rsidR="00B330E6" w14:paraId="1F94BA4C" w14:textId="77777777">
        <w:tc>
          <w:tcPr>
            <w:tcW w:w="1975" w:type="dxa"/>
          </w:tcPr>
          <w:p w14:paraId="641902E4" w14:textId="60B8A3D7" w:rsidR="00B330E6" w:rsidRDefault="00B330E6" w:rsidP="00B330E6">
            <w:pPr>
              <w:spacing w:after="0"/>
              <w:rPr>
                <w:rFonts w:eastAsia="Malgun Gothic"/>
                <w:lang w:eastAsia="ko-KR"/>
              </w:rPr>
            </w:pPr>
            <w:r>
              <w:t>Intel</w:t>
            </w:r>
          </w:p>
        </w:tc>
        <w:tc>
          <w:tcPr>
            <w:tcW w:w="1620" w:type="dxa"/>
          </w:tcPr>
          <w:p w14:paraId="2E90C569" w14:textId="26726904" w:rsidR="00B330E6" w:rsidRDefault="00B330E6" w:rsidP="00B330E6">
            <w:pPr>
              <w:spacing w:after="0"/>
              <w:rPr>
                <w:rFonts w:eastAsia="Malgun Gothic"/>
                <w:lang w:eastAsia="ko-KR"/>
              </w:rPr>
            </w:pPr>
            <w:r>
              <w:t>-</w:t>
            </w:r>
          </w:p>
        </w:tc>
        <w:tc>
          <w:tcPr>
            <w:tcW w:w="5755" w:type="dxa"/>
          </w:tcPr>
          <w:p w14:paraId="02F22C28" w14:textId="0E33863D" w:rsidR="00B330E6" w:rsidRDefault="00B330E6" w:rsidP="00B330E6">
            <w:pPr>
              <w:spacing w:after="0"/>
              <w:rPr>
                <w:rFonts w:eastAsia="Malgun Gothic"/>
                <w:lang w:eastAsia="ko-KR"/>
              </w:rPr>
            </w:pPr>
            <w:r>
              <w:t>If (and only if) RAN2 agrees to enable the mechanism explained by option 1.b), we support that RAN2 flags all the identified points (Q.5.1) to get SA3’s input, if any.</w:t>
            </w:r>
          </w:p>
        </w:tc>
      </w:tr>
      <w:tr w:rsidR="00D56910" w14:paraId="2EDB0773" w14:textId="77777777">
        <w:tc>
          <w:tcPr>
            <w:tcW w:w="1975" w:type="dxa"/>
          </w:tcPr>
          <w:p w14:paraId="05D7E51B" w14:textId="0E9C9C64" w:rsidR="00D56910" w:rsidRDefault="00D56910" w:rsidP="00D56910">
            <w:pPr>
              <w:spacing w:after="0"/>
            </w:pPr>
            <w:r>
              <w:rPr>
                <w:rFonts w:hint="eastAsia"/>
                <w:lang w:eastAsia="zh-CN"/>
              </w:rPr>
              <w:t>N</w:t>
            </w:r>
            <w:r>
              <w:rPr>
                <w:lang w:eastAsia="zh-CN"/>
              </w:rPr>
              <w:t>EC</w:t>
            </w:r>
          </w:p>
        </w:tc>
        <w:tc>
          <w:tcPr>
            <w:tcW w:w="1620" w:type="dxa"/>
          </w:tcPr>
          <w:p w14:paraId="467CE3C5" w14:textId="292851D7" w:rsidR="00D56910" w:rsidRDefault="00D56910" w:rsidP="00D56910">
            <w:pPr>
              <w:spacing w:after="0"/>
            </w:pPr>
            <w:r>
              <w:t>Q.5.1)</w:t>
            </w:r>
          </w:p>
        </w:tc>
        <w:tc>
          <w:tcPr>
            <w:tcW w:w="5755" w:type="dxa"/>
          </w:tcPr>
          <w:p w14:paraId="403AE7CA" w14:textId="0AD870B6" w:rsidR="00D56910" w:rsidRDefault="00D56910" w:rsidP="00D56910">
            <w:pPr>
              <w:spacing w:after="0"/>
            </w:pPr>
            <w:r>
              <w:rPr>
                <w:lang w:eastAsia="zh-CN"/>
              </w:rPr>
              <w:t xml:space="preserve">We prefer to ask SA3 in an alternative way like if there is security issue to maintain the security key in case of </w:t>
            </w:r>
            <w:r w:rsidRPr="009F38E7">
              <w:t>anchor relocation performed in the middle of an ongoing SDT session</w:t>
            </w:r>
            <w:r>
              <w:t>.</w:t>
            </w:r>
          </w:p>
        </w:tc>
      </w:tr>
    </w:tbl>
    <w:p w14:paraId="15B4B3D7" w14:textId="77777777" w:rsidR="00EA567C" w:rsidRDefault="00EA567C">
      <w:pPr>
        <w:jc w:val="both"/>
      </w:pPr>
    </w:p>
    <w:p w14:paraId="15B4B3D8" w14:textId="77777777" w:rsidR="00EA567C" w:rsidRDefault="00EA567C">
      <w:pPr>
        <w:jc w:val="both"/>
      </w:pPr>
    </w:p>
    <w:p w14:paraId="15B4B3D9" w14:textId="77777777" w:rsidR="00EA567C" w:rsidRDefault="00786B2D">
      <w:pPr>
        <w:pStyle w:val="2"/>
      </w:pPr>
      <w:r>
        <w:t>Topic #2: Radio bearer handling when switching from SDT to CONNECTED</w:t>
      </w:r>
    </w:p>
    <w:p w14:paraId="15B4B3DA" w14:textId="77777777" w:rsidR="00EA567C" w:rsidRDefault="00786B2D">
      <w:pPr>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RAN2 already agreed that SDT RBs are re-established at initiation of SDT procedure and the new security keys are applied then, i.e. there is no need to perform re-establishment second time when </w:t>
      </w:r>
      <w:r>
        <w:rPr>
          <w:rFonts w:ascii="Times New Roman" w:eastAsiaTheme="minorEastAsia" w:hAnsi="Times New Roman" w:cs="Times New Roman"/>
          <w:i/>
          <w:sz w:val="20"/>
          <w:szCs w:val="20"/>
        </w:rPr>
        <w:t>RRCResume</w:t>
      </w:r>
      <w:r>
        <w:rPr>
          <w:rFonts w:ascii="Times New Roman" w:eastAsiaTheme="minorEastAsia" w:hAnsi="Times New Roman" w:cs="Times New Roman"/>
          <w:sz w:val="20"/>
          <w:szCs w:val="20"/>
        </w:rPr>
        <w:t xml:space="preserve"> is received as it is done </w:t>
      </w:r>
      <w:r>
        <w:rPr>
          <w:rFonts w:ascii="Times New Roman" w:eastAsiaTheme="minorEastAsia" w:hAnsi="Times New Roman" w:cs="Times New Roman"/>
          <w:sz w:val="20"/>
          <w:szCs w:val="20"/>
        </w:rPr>
        <w:lastRenderedPageBreak/>
        <w:t xml:space="preserve">Rel-15 NR. Therefore, when switching from SDT to CONNECTED, the PDCP of non-SDT RBs do not need to be re-established </w:t>
      </w:r>
      <w:r>
        <w:rPr>
          <w:rFonts w:ascii="Times New Roman" w:eastAsiaTheme="minorEastAsia" w:hAnsi="Times New Roman" w:cs="Times New Roman"/>
          <w:sz w:val="20"/>
          <w:szCs w:val="20"/>
        </w:rPr>
        <w:fldChar w:fldCharType="begin"/>
      </w:r>
      <w:r>
        <w:rPr>
          <w:rFonts w:ascii="Times New Roman" w:eastAsiaTheme="minorEastAsia" w:hAnsi="Times New Roman" w:cs="Times New Roman"/>
          <w:sz w:val="20"/>
          <w:szCs w:val="20"/>
        </w:rPr>
        <w:instrText xml:space="preserve"> REF _Ref74088823 \r \h </w:instrText>
      </w:r>
      <w:r>
        <w:rPr>
          <w:rFonts w:ascii="Times New Roman" w:eastAsiaTheme="minorEastAsia" w:hAnsi="Times New Roman" w:cs="Times New Roman"/>
          <w:sz w:val="20"/>
          <w:szCs w:val="20"/>
        </w:rPr>
      </w:r>
      <w:r>
        <w:rPr>
          <w:rFonts w:ascii="Times New Roman" w:eastAsiaTheme="minorEastAsia" w:hAnsi="Times New Roman" w:cs="Times New Roman"/>
          <w:sz w:val="20"/>
          <w:szCs w:val="20"/>
        </w:rPr>
        <w:fldChar w:fldCharType="separate"/>
      </w:r>
      <w:r>
        <w:rPr>
          <w:rFonts w:ascii="Times New Roman" w:eastAsiaTheme="minorEastAsia" w:hAnsi="Times New Roman" w:cs="Times New Roman"/>
          <w:sz w:val="20"/>
          <w:szCs w:val="20"/>
        </w:rPr>
        <w:t>[12]</w:t>
      </w:r>
      <w:r>
        <w:rPr>
          <w:rFonts w:ascii="Times New Roman" w:eastAsiaTheme="minorEastAsia" w:hAnsi="Times New Roman" w:cs="Times New Roman"/>
          <w:sz w:val="20"/>
          <w:szCs w:val="20"/>
        </w:rPr>
        <w:fldChar w:fldCharType="end"/>
      </w:r>
      <w:r>
        <w:rPr>
          <w:rFonts w:ascii="Times New Roman" w:eastAsiaTheme="minorEastAsia" w:hAnsi="Times New Roman" w:cs="Times New Roman"/>
          <w:sz w:val="20"/>
          <w:szCs w:val="20"/>
        </w:rPr>
        <w:t>. For this switch/fallback under network control, it is also explained in [6] that it is left up to network implementation that the data exchanged before triggering the fallback to resume is not lost (i.e. UE does not need to retransmit it) and SDT related data traffic can continue after UE gets RRC_CONNECTED.</w:t>
      </w:r>
    </w:p>
    <w:p w14:paraId="15B4B3DB" w14:textId="77777777" w:rsidR="00EA567C" w:rsidRDefault="00786B2D">
      <w:pPr>
        <w:pStyle w:val="observ"/>
        <w:ind w:left="360"/>
        <w:rPr>
          <w:color w:val="A6A6A6" w:themeColor="background1" w:themeShade="A6"/>
        </w:rPr>
      </w:pPr>
      <w:bookmarkStart w:id="40" w:name="_Ref75224791"/>
      <w:r>
        <w:rPr>
          <w:color w:val="A6A6A6" w:themeColor="background1" w:themeShade="A6"/>
        </w:rPr>
        <w:t xml:space="preserve">When UE receives </w:t>
      </w:r>
      <w:r>
        <w:rPr>
          <w:i/>
          <w:iCs/>
          <w:color w:val="A6A6A6" w:themeColor="background1" w:themeShade="A6"/>
        </w:rPr>
        <w:t>RRCResume</w:t>
      </w:r>
      <w:r>
        <w:rPr>
          <w:color w:val="A6A6A6" w:themeColor="background1" w:themeShade="A6"/>
        </w:rPr>
        <w:t xml:space="preserve"> message during an ongoing SDT session or in response to </w:t>
      </w:r>
      <w:r>
        <w:rPr>
          <w:i/>
          <w:iCs/>
          <w:color w:val="A6A6A6" w:themeColor="background1" w:themeShade="A6"/>
        </w:rPr>
        <w:t>RRCResumeRequest</w:t>
      </w:r>
      <w:r>
        <w:rPr>
          <w:color w:val="A6A6A6" w:themeColor="background1" w:themeShade="A6"/>
        </w:rPr>
        <w:t xml:space="preserve"> message sent for SDT (i.e. </w:t>
      </w:r>
      <w:r>
        <w:rPr>
          <w:rFonts w:eastAsiaTheme="minorEastAsia"/>
          <w:color w:val="A6A6A6" w:themeColor="background1" w:themeShade="A6"/>
        </w:rPr>
        <w:t>switch from SDT to CONNECTED</w:t>
      </w:r>
      <w:r>
        <w:rPr>
          <w:color w:val="A6A6A6" w:themeColor="background1" w:themeShade="A6"/>
        </w:rPr>
        <w:t>), the PDCP entities for only the non-SDT RBs are re-established (i.e., SDT RBs are not re-established as were already resumed for the SDT session).</w:t>
      </w:r>
      <w:bookmarkEnd w:id="40"/>
    </w:p>
    <w:p w14:paraId="15B4B3DC" w14:textId="77777777" w:rsidR="00EA567C" w:rsidRDefault="00786B2D">
      <w:pPr>
        <w:pStyle w:val="observ"/>
        <w:ind w:left="360"/>
      </w:pPr>
      <w:r>
        <w:t xml:space="preserve">When switching from SDT to CONNECTED, it is left up to </w:t>
      </w:r>
      <w:bookmarkStart w:id="41" w:name="_Hlk74134203"/>
      <w:r>
        <w:t>network implementation that the data exchanged before triggering the fallback to resume is not lost (i.e. UE does not need to retransmit it) and SDT related data traffic can continue after UE gets CONNECTED</w:t>
      </w:r>
      <w:bookmarkEnd w:id="41"/>
      <w:r>
        <w:t>.</w:t>
      </w:r>
    </w:p>
    <w:bookmarkStart w:id="42" w:name="_Hlk75238081"/>
    <w:p w14:paraId="15B4B3DD" w14:textId="77777777" w:rsidR="00EA567C" w:rsidRDefault="00786B2D">
      <w:pPr>
        <w:pStyle w:val="4"/>
        <w:rPr>
          <w:color w:val="0000CC"/>
        </w:rPr>
      </w:pPr>
      <w:r>
        <w:rPr>
          <w:color w:val="0000CC"/>
          <w:lang w:val="en-US"/>
        </w:rPr>
        <w:fldChar w:fldCharType="begin"/>
      </w:r>
      <w:r>
        <w:rPr>
          <w:color w:val="0000CC"/>
          <w:lang w:val="en-US"/>
        </w:rPr>
        <w:instrText xml:space="preserve"> REF _Ref75238065 \r \h  \* MERGEFORMAT </w:instrText>
      </w:r>
      <w:r>
        <w:rPr>
          <w:color w:val="0000CC"/>
          <w:lang w:val="en-US"/>
        </w:rPr>
      </w:r>
      <w:r>
        <w:rPr>
          <w:color w:val="0000CC"/>
          <w:lang w:val="en-US"/>
        </w:rPr>
        <w:fldChar w:fldCharType="separate"/>
      </w:r>
      <w:r>
        <w:rPr>
          <w:color w:val="0000CC"/>
          <w:lang w:val="en-US"/>
        </w:rPr>
        <w:t>Q.6)</w:t>
      </w:r>
      <w:r>
        <w:rPr>
          <w:color w:val="0000CC"/>
          <w:lang w:val="en-US"/>
        </w:rPr>
        <w:fldChar w:fldCharType="end"/>
      </w:r>
      <w:bookmarkEnd w:id="42"/>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3DE"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_Ref75238065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Q.6)</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_Ref75224791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Observation 1</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and the responses provided during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15B4B3DF"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RAN2 has agreed that the PDCP entities of only the SDT DRBs are re-established when initiating an SDT session.  </w:t>
      </w:r>
    </w:p>
    <w:p w14:paraId="15B4B3E0" w14:textId="77777777" w:rsidR="00EA567C" w:rsidRDefault="00786B2D">
      <w:pPr>
        <w:pStyle w:val="a9"/>
        <w:numPr>
          <w:ilvl w:val="0"/>
          <w:numId w:val="40"/>
        </w:numPr>
        <w:spacing w:line="257" w:lineRule="auto"/>
        <w:contextualSpacing w:val="0"/>
        <w:jc w:val="both"/>
        <w:rPr>
          <w:iCs/>
          <w:color w:val="0000CC"/>
        </w:rPr>
      </w:pPr>
      <w:r>
        <w:rPr>
          <w:iCs/>
          <w:color w:val="0000CC"/>
        </w:rPr>
        <w:t>RAN2#112e: “</w:t>
      </w:r>
      <w:r>
        <w:rPr>
          <w:i/>
          <w:color w:val="0000CC"/>
        </w:rPr>
        <w:t xml:space="preserve">For both RACH and CG based solutions, upon initiating RESUME procedure for SDT initiation (i.e. for first SDT transmission), the UE shall </w:t>
      </w:r>
      <w:r>
        <w:rPr>
          <w:i/>
          <w:color w:val="0000CC"/>
          <w:u w:val="single"/>
        </w:rPr>
        <w:t>re-establish at least the SDT PDCP entities and resume the SDT DRBs that are configured for small data transmission (along with the SRB1)</w:t>
      </w:r>
      <w:r>
        <w:rPr>
          <w:i/>
          <w:color w:val="0000CC"/>
        </w:rPr>
        <w:t>. FFS for non-SDT DRBs. FFS on implicit vs. explicit.  FFS on whether we a new Resume cause.  FFS on whether we need to deal with suppressing PDCP status report</w:t>
      </w:r>
      <w:r>
        <w:rPr>
          <w:iCs/>
          <w:color w:val="0000CC"/>
        </w:rPr>
        <w:t>”</w:t>
      </w:r>
    </w:p>
    <w:p w14:paraId="15B4B3E1" w14:textId="77777777" w:rsidR="00EA567C" w:rsidRDefault="00786B2D">
      <w:pPr>
        <w:pStyle w:val="a9"/>
        <w:numPr>
          <w:ilvl w:val="0"/>
          <w:numId w:val="30"/>
        </w:numPr>
        <w:overflowPunct/>
        <w:autoSpaceDE/>
        <w:autoSpaceDN/>
        <w:adjustRightInd/>
        <w:spacing w:after="120" w:line="259" w:lineRule="auto"/>
        <w:contextualSpacing w:val="0"/>
        <w:jc w:val="both"/>
        <w:rPr>
          <w:color w:val="0000CC"/>
        </w:rPr>
      </w:pPr>
      <w:bookmarkStart w:id="43" w:name="_Ref75238065"/>
      <w:r>
        <w:rPr>
          <w:color w:val="0000CC"/>
        </w:rPr>
        <w:t xml:space="preserve">When UE receives </w:t>
      </w:r>
      <w:r>
        <w:rPr>
          <w:i/>
          <w:iCs/>
          <w:color w:val="0000CC"/>
        </w:rPr>
        <w:t>RRCResume</w:t>
      </w:r>
      <w:r>
        <w:rPr>
          <w:color w:val="0000CC"/>
        </w:rPr>
        <w:t xml:space="preserve"> message during an ongoing SDT session or in response to </w:t>
      </w:r>
      <w:r>
        <w:rPr>
          <w:i/>
          <w:iCs/>
          <w:color w:val="0000CC"/>
        </w:rPr>
        <w:t>RRCResumeRequest</w:t>
      </w:r>
      <w:r>
        <w:rPr>
          <w:color w:val="0000CC"/>
        </w:rPr>
        <w:t xml:space="preserve"> message sent for SDT (i.e. switch from SDT to CONNECTED), how are the PDCP entities handled?</w:t>
      </w:r>
      <w:bookmarkEnd w:id="43"/>
    </w:p>
    <w:p w14:paraId="15B4B3E2" w14:textId="77777777" w:rsidR="00EA567C" w:rsidRDefault="00786B2D">
      <w:pPr>
        <w:pStyle w:val="a9"/>
        <w:numPr>
          <w:ilvl w:val="0"/>
          <w:numId w:val="39"/>
        </w:numPr>
        <w:spacing w:after="60"/>
        <w:ind w:left="763"/>
        <w:contextualSpacing w:val="0"/>
        <w:jc w:val="both"/>
        <w:rPr>
          <w:rFonts w:eastAsiaTheme="minorEastAsia"/>
          <w:color w:val="0000CC"/>
        </w:rPr>
      </w:pPr>
      <w:r>
        <w:rPr>
          <w:rFonts w:eastAsiaTheme="minorEastAsia"/>
          <w:color w:val="0000CC"/>
        </w:rPr>
        <w:t>PDCP entities for only the non-SDT RBs are re-established (i.e., SDT RBs are not re-established as were already resumed for the SDT session) [6]</w:t>
      </w:r>
      <w:ins w:id="44" w:author="Huawei" w:date="2021-06-24T14:06:00Z">
        <w:r>
          <w:rPr>
            <w:rFonts w:eastAsiaTheme="minorEastAsia"/>
            <w:color w:val="0000CC"/>
          </w:rPr>
          <w:t>[12]</w:t>
        </w:r>
      </w:ins>
      <w:r>
        <w:rPr>
          <w:rFonts w:eastAsiaTheme="minorEastAsia"/>
          <w:color w:val="0000CC"/>
        </w:rPr>
        <w:t>.</w:t>
      </w:r>
    </w:p>
    <w:p w14:paraId="15B4B3E3" w14:textId="77777777" w:rsidR="00EA567C" w:rsidRDefault="00786B2D">
      <w:pPr>
        <w:pStyle w:val="a9"/>
        <w:numPr>
          <w:ilvl w:val="0"/>
          <w:numId w:val="39"/>
        </w:numPr>
        <w:spacing w:after="60"/>
        <w:ind w:left="763"/>
        <w:contextualSpacing w:val="0"/>
        <w:jc w:val="both"/>
        <w:rPr>
          <w:rFonts w:eastAsiaTheme="minorEastAsia"/>
          <w:color w:val="0000CC"/>
        </w:rPr>
      </w:pPr>
      <w:r>
        <w:rPr>
          <w:rFonts w:eastAsiaTheme="minorEastAsia"/>
          <w:color w:val="0000CC"/>
        </w:rPr>
        <w:t>PDCP of non-SDT RBs do not need to be re-established</w:t>
      </w:r>
      <w:del w:id="45" w:author="Huawei" w:date="2021-07-02T12:33:00Z">
        <w:r>
          <w:rPr>
            <w:rFonts w:eastAsiaTheme="minorEastAsia"/>
            <w:color w:val="0000CC"/>
          </w:rPr>
          <w:delText xml:space="preserve"> </w:delText>
        </w:r>
        <w:commentRangeStart w:id="46"/>
        <w:r>
          <w:rPr>
            <w:rFonts w:eastAsiaTheme="minorEastAsia"/>
            <w:color w:val="0000CC"/>
          </w:rPr>
          <w:fldChar w:fldCharType="begin"/>
        </w:r>
        <w:r>
          <w:rPr>
            <w:rFonts w:eastAsiaTheme="minorEastAsia"/>
            <w:color w:val="0000CC"/>
          </w:rPr>
          <w:delInstrText xml:space="preserve"> REF _Ref74088823 \r \h </w:delInstrText>
        </w:r>
        <w:r>
          <w:rPr>
            <w:rFonts w:eastAsiaTheme="minorEastAsia"/>
            <w:color w:val="0000CC"/>
          </w:rPr>
        </w:r>
        <w:r>
          <w:rPr>
            <w:rFonts w:eastAsiaTheme="minorEastAsia"/>
            <w:color w:val="0000CC"/>
          </w:rPr>
          <w:fldChar w:fldCharType="separate"/>
        </w:r>
        <w:r>
          <w:rPr>
            <w:rFonts w:eastAsiaTheme="minorEastAsia"/>
            <w:color w:val="0000CC"/>
          </w:rPr>
          <w:delText>[12]</w:delText>
        </w:r>
        <w:r>
          <w:rPr>
            <w:rFonts w:eastAsiaTheme="minorEastAsia"/>
            <w:color w:val="0000CC"/>
          </w:rPr>
          <w:fldChar w:fldCharType="end"/>
        </w:r>
        <w:commentRangeEnd w:id="46"/>
        <w:r>
          <w:rPr>
            <w:rStyle w:val="ad"/>
          </w:rPr>
          <w:commentReference w:id="46"/>
        </w:r>
        <w:r>
          <w:rPr>
            <w:rFonts w:eastAsiaTheme="minorEastAsia"/>
            <w:color w:val="0000CC"/>
          </w:rPr>
          <w:delText>.</w:delText>
        </w:r>
      </w:del>
    </w:p>
    <w:p w14:paraId="15B4B3E4" w14:textId="77777777" w:rsidR="00EA567C" w:rsidRDefault="00786B2D">
      <w:pPr>
        <w:pStyle w:val="a9"/>
        <w:numPr>
          <w:ilvl w:val="0"/>
          <w:numId w:val="39"/>
        </w:numPr>
        <w:spacing w:after="120"/>
        <w:ind w:left="763"/>
        <w:contextualSpacing w:val="0"/>
        <w:jc w:val="both"/>
        <w:rPr>
          <w:rFonts w:eastAsiaTheme="minorEastAsia"/>
          <w:color w:val="0000CC"/>
        </w:rPr>
      </w:pPr>
      <w:r>
        <w:rPr>
          <w:rFonts w:eastAsiaTheme="minorEastAsia"/>
          <w:color w:val="0000CC"/>
        </w:rPr>
        <w:t>Other approaches</w:t>
      </w:r>
    </w:p>
    <w:tbl>
      <w:tblPr>
        <w:tblStyle w:val="ab"/>
        <w:tblW w:w="0" w:type="auto"/>
        <w:tblLook w:val="04A0" w:firstRow="1" w:lastRow="0" w:firstColumn="1" w:lastColumn="0" w:noHBand="0" w:noVBand="1"/>
      </w:tblPr>
      <w:tblGrid>
        <w:gridCol w:w="1975"/>
        <w:gridCol w:w="1170"/>
        <w:gridCol w:w="6205"/>
      </w:tblGrid>
      <w:tr w:rsidR="00EA567C" w14:paraId="15B4B3E8" w14:textId="77777777">
        <w:tc>
          <w:tcPr>
            <w:tcW w:w="1975" w:type="dxa"/>
            <w:shd w:val="clear" w:color="auto" w:fill="BFBFBF" w:themeFill="background1" w:themeFillShade="BF"/>
          </w:tcPr>
          <w:p w14:paraId="15B4B3E5"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3E6" w14:textId="77777777" w:rsidR="00EA567C" w:rsidRDefault="00786B2D">
            <w:pPr>
              <w:spacing w:after="0"/>
              <w:jc w:val="center"/>
              <w:rPr>
                <w:b/>
                <w:bCs/>
              </w:rPr>
            </w:pPr>
            <w:r>
              <w:rPr>
                <w:b/>
                <w:bCs/>
              </w:rPr>
              <w:t>Option</w:t>
            </w:r>
          </w:p>
        </w:tc>
        <w:tc>
          <w:tcPr>
            <w:tcW w:w="6205" w:type="dxa"/>
            <w:shd w:val="clear" w:color="auto" w:fill="BFBFBF" w:themeFill="background1" w:themeFillShade="BF"/>
          </w:tcPr>
          <w:p w14:paraId="15B4B3E7" w14:textId="77777777" w:rsidR="00EA567C" w:rsidRDefault="00786B2D">
            <w:pPr>
              <w:spacing w:after="0"/>
              <w:jc w:val="center"/>
              <w:rPr>
                <w:b/>
                <w:bCs/>
              </w:rPr>
            </w:pPr>
            <w:r>
              <w:rPr>
                <w:b/>
                <w:bCs/>
              </w:rPr>
              <w:t>Justification</w:t>
            </w:r>
          </w:p>
        </w:tc>
      </w:tr>
      <w:tr w:rsidR="00EA567C" w14:paraId="15B4B3EE" w14:textId="77777777">
        <w:tc>
          <w:tcPr>
            <w:tcW w:w="1975" w:type="dxa"/>
          </w:tcPr>
          <w:p w14:paraId="15B4B3E9" w14:textId="77777777" w:rsidR="00EA567C" w:rsidRDefault="00786B2D">
            <w:pPr>
              <w:spacing w:after="0"/>
            </w:pPr>
            <w:r>
              <w:t>Huawei, HiSilicon</w:t>
            </w:r>
          </w:p>
        </w:tc>
        <w:tc>
          <w:tcPr>
            <w:tcW w:w="1170" w:type="dxa"/>
          </w:tcPr>
          <w:p w14:paraId="15B4B3EA" w14:textId="77777777" w:rsidR="00EA567C" w:rsidRDefault="00786B2D">
            <w:pPr>
              <w:spacing w:after="0"/>
            </w:pPr>
            <w:r>
              <w:t>It depends</w:t>
            </w:r>
          </w:p>
        </w:tc>
        <w:tc>
          <w:tcPr>
            <w:tcW w:w="6205" w:type="dxa"/>
          </w:tcPr>
          <w:p w14:paraId="15B4B3EB" w14:textId="77777777" w:rsidR="00EA567C" w:rsidRDefault="00786B2D">
            <w:pPr>
              <w:spacing w:after="0"/>
            </w:pPr>
            <w:r>
              <w:t>The answer to this question depends on the scenario and the solution applied in non-anchor relocation scenario:</w:t>
            </w:r>
          </w:p>
          <w:p w14:paraId="15B4B3EC" w14:textId="77777777" w:rsidR="00EA567C" w:rsidRDefault="00786B2D">
            <w:pPr>
              <w:spacing w:after="0"/>
            </w:pPr>
            <w:r>
              <w:t>- For anchor relocation case or in case serving gNB is already an anchor when SDT is triggered, option 2.a) applies</w:t>
            </w:r>
          </w:p>
          <w:p w14:paraId="15B4B3ED" w14:textId="77777777" w:rsidR="00EA567C" w:rsidRDefault="00786B2D">
            <w:pPr>
              <w:spacing w:after="0"/>
            </w:pPr>
            <w:r>
              <w:t xml:space="preserve">- For non-anchor relocation case, if new keys are going to be used, then all RBs need to be re-established. With RRCRelease basaed approach this would happen automatically as the UE would just follow legacy RRC Resume procedure. </w:t>
            </w:r>
          </w:p>
        </w:tc>
      </w:tr>
      <w:tr w:rsidR="00EA567C" w14:paraId="15B4B3F2" w14:textId="77777777">
        <w:trPr>
          <w:trHeight w:val="43"/>
        </w:trPr>
        <w:tc>
          <w:tcPr>
            <w:tcW w:w="1975" w:type="dxa"/>
          </w:tcPr>
          <w:p w14:paraId="15B4B3EF" w14:textId="77777777" w:rsidR="00EA567C" w:rsidRDefault="00786B2D">
            <w:pPr>
              <w:spacing w:after="0"/>
            </w:pPr>
            <w:r>
              <w:t>ZTE</w:t>
            </w:r>
          </w:p>
        </w:tc>
        <w:tc>
          <w:tcPr>
            <w:tcW w:w="1170" w:type="dxa"/>
          </w:tcPr>
          <w:p w14:paraId="15B4B3F0" w14:textId="77777777" w:rsidR="00EA567C" w:rsidRDefault="00786B2D">
            <w:pPr>
              <w:spacing w:after="0"/>
            </w:pPr>
            <w:r>
              <w:t>Option 2.a, but</w:t>
            </w:r>
          </w:p>
        </w:tc>
        <w:tc>
          <w:tcPr>
            <w:tcW w:w="6205" w:type="dxa"/>
          </w:tcPr>
          <w:p w14:paraId="15B4B3F1" w14:textId="77777777" w:rsidR="00EA567C" w:rsidRDefault="00786B2D">
            <w:pPr>
              <w:spacing w:after="0"/>
            </w:pPr>
            <w:r>
              <w:t xml:space="preserve">In general option 2.a should be the baseline. And for non-anchor relocation case, if some special handling is needed per above, we think reconfiguration with sync will be used and the network can set the PDCP reestablishment flag accordingly for this case. The existing signalling already supports this. </w:t>
            </w:r>
          </w:p>
        </w:tc>
      </w:tr>
      <w:tr w:rsidR="00EA567C" w14:paraId="15B4B3F6" w14:textId="77777777">
        <w:trPr>
          <w:trHeight w:val="43"/>
        </w:trPr>
        <w:tc>
          <w:tcPr>
            <w:tcW w:w="1975" w:type="dxa"/>
          </w:tcPr>
          <w:p w14:paraId="15B4B3F3" w14:textId="77777777" w:rsidR="00EA567C" w:rsidRDefault="00786B2D">
            <w:pPr>
              <w:spacing w:after="0"/>
            </w:pPr>
            <w:r>
              <w:t>InterDigital</w:t>
            </w:r>
          </w:p>
        </w:tc>
        <w:tc>
          <w:tcPr>
            <w:tcW w:w="1170" w:type="dxa"/>
          </w:tcPr>
          <w:p w14:paraId="15B4B3F4" w14:textId="77777777" w:rsidR="00EA567C" w:rsidRDefault="00786B2D">
            <w:pPr>
              <w:spacing w:after="0"/>
            </w:pPr>
            <w:r>
              <w:t>2.c)</w:t>
            </w:r>
          </w:p>
        </w:tc>
        <w:tc>
          <w:tcPr>
            <w:tcW w:w="6205" w:type="dxa"/>
          </w:tcPr>
          <w:p w14:paraId="15B4B3F5" w14:textId="77777777" w:rsidR="00EA567C" w:rsidRDefault="00786B2D">
            <w:pPr>
              <w:spacing w:after="0"/>
            </w:pPr>
            <w:r>
              <w:t>Only the non-SDT RBs are re-established unless any new keys are derived during the switch from SDT to CONNECTED. Or, all RBs are re-established for the case that a new key is generated during the switch (e.g. for the case that UE context is transferred from anchor to a new serving gNB in the middle of switch.)</w:t>
            </w:r>
          </w:p>
        </w:tc>
      </w:tr>
      <w:tr w:rsidR="00EA567C" w14:paraId="15B4B3FA" w14:textId="77777777">
        <w:tc>
          <w:tcPr>
            <w:tcW w:w="1975" w:type="dxa"/>
          </w:tcPr>
          <w:p w14:paraId="15B4B3F7" w14:textId="77777777" w:rsidR="00EA567C" w:rsidRDefault="00786B2D">
            <w:pPr>
              <w:spacing w:after="0"/>
            </w:pPr>
            <w:r>
              <w:lastRenderedPageBreak/>
              <w:t>CATT</w:t>
            </w:r>
          </w:p>
        </w:tc>
        <w:tc>
          <w:tcPr>
            <w:tcW w:w="1170" w:type="dxa"/>
          </w:tcPr>
          <w:p w14:paraId="15B4B3F8" w14:textId="77777777" w:rsidR="00EA567C" w:rsidRDefault="00786B2D">
            <w:pPr>
              <w:spacing w:after="0"/>
            </w:pPr>
            <w:r>
              <w:t>It depends on the solution</w:t>
            </w:r>
          </w:p>
        </w:tc>
        <w:tc>
          <w:tcPr>
            <w:tcW w:w="6205" w:type="dxa"/>
          </w:tcPr>
          <w:p w14:paraId="15B4B3F9" w14:textId="77777777" w:rsidR="00EA567C" w:rsidRDefault="00786B2D">
            <w:pPr>
              <w:spacing w:after="0"/>
            </w:pPr>
            <w:r>
              <w:t>Share the same view with HW, it depends on the scenarios and the solution for switching from SDT to CONNECTED during SDT session in non-anchor relocation scenario.</w:t>
            </w:r>
          </w:p>
        </w:tc>
      </w:tr>
      <w:tr w:rsidR="00EA567C" w14:paraId="15B4B3FE" w14:textId="77777777">
        <w:tc>
          <w:tcPr>
            <w:tcW w:w="1975" w:type="dxa"/>
          </w:tcPr>
          <w:p w14:paraId="15B4B3FB" w14:textId="77777777" w:rsidR="00EA567C" w:rsidRDefault="00786B2D">
            <w:pPr>
              <w:spacing w:after="0"/>
            </w:pPr>
            <w:r>
              <w:rPr>
                <w:rFonts w:eastAsiaTheme="minorEastAsia" w:hint="eastAsia"/>
              </w:rPr>
              <w:t>Samsung</w:t>
            </w:r>
          </w:p>
        </w:tc>
        <w:tc>
          <w:tcPr>
            <w:tcW w:w="1170" w:type="dxa"/>
          </w:tcPr>
          <w:p w14:paraId="15B4B3FC" w14:textId="77777777" w:rsidR="00EA567C" w:rsidRDefault="00786B2D">
            <w:pPr>
              <w:spacing w:after="0"/>
            </w:pPr>
            <w:r>
              <w:rPr>
                <w:rFonts w:eastAsiaTheme="minorEastAsia" w:hint="eastAsia"/>
              </w:rPr>
              <w:t>2.c)</w:t>
            </w:r>
          </w:p>
        </w:tc>
        <w:tc>
          <w:tcPr>
            <w:tcW w:w="6205" w:type="dxa"/>
          </w:tcPr>
          <w:p w14:paraId="15B4B3FD" w14:textId="77777777" w:rsidR="00EA567C" w:rsidRDefault="00786B2D">
            <w:pPr>
              <w:spacing w:after="0"/>
            </w:pPr>
            <w:r>
              <w:rPr>
                <w:rFonts w:eastAsiaTheme="minorEastAsia"/>
              </w:rPr>
              <w:t xml:space="preserve">UE can simply follow the network configuration </w:t>
            </w:r>
          </w:p>
        </w:tc>
      </w:tr>
      <w:tr w:rsidR="00EA567C" w14:paraId="15B4B402" w14:textId="77777777">
        <w:tc>
          <w:tcPr>
            <w:tcW w:w="1975" w:type="dxa"/>
          </w:tcPr>
          <w:p w14:paraId="15B4B3FF" w14:textId="77777777" w:rsidR="00EA567C" w:rsidRDefault="00786B2D">
            <w:pPr>
              <w:spacing w:after="0"/>
              <w:rPr>
                <w:rFonts w:eastAsiaTheme="minorEastAsia"/>
              </w:rPr>
            </w:pPr>
            <w:r>
              <w:rPr>
                <w:rFonts w:eastAsiaTheme="minorEastAsia" w:hint="eastAsia"/>
              </w:rPr>
              <w:t>Fujitsu</w:t>
            </w:r>
          </w:p>
        </w:tc>
        <w:tc>
          <w:tcPr>
            <w:tcW w:w="1170" w:type="dxa"/>
          </w:tcPr>
          <w:p w14:paraId="15B4B400" w14:textId="77777777" w:rsidR="00EA567C" w:rsidRDefault="00786B2D">
            <w:pPr>
              <w:spacing w:after="0"/>
              <w:rPr>
                <w:rFonts w:eastAsiaTheme="minorEastAsia"/>
              </w:rPr>
            </w:pPr>
            <w:r>
              <w:rPr>
                <w:rFonts w:eastAsiaTheme="minorEastAsia" w:hint="eastAsia"/>
              </w:rPr>
              <w:t>2.c)</w:t>
            </w:r>
          </w:p>
        </w:tc>
        <w:tc>
          <w:tcPr>
            <w:tcW w:w="6205" w:type="dxa"/>
          </w:tcPr>
          <w:p w14:paraId="15B4B401" w14:textId="77777777" w:rsidR="00EA567C" w:rsidRDefault="00786B2D">
            <w:pPr>
              <w:spacing w:after="0"/>
              <w:rPr>
                <w:rFonts w:eastAsiaTheme="minorEastAsia"/>
              </w:rPr>
            </w:pPr>
            <w:r>
              <w:rPr>
                <w:rFonts w:eastAsiaTheme="minorEastAsia" w:hint="eastAsia"/>
              </w:rPr>
              <w:t>As commented by Huawei</w:t>
            </w:r>
            <w:r>
              <w:rPr>
                <w:rFonts w:eastAsiaTheme="minorEastAsia"/>
              </w:rPr>
              <w:t xml:space="preserve">, </w:t>
            </w:r>
            <w:r>
              <w:t>HiSilicon</w:t>
            </w:r>
            <w:r>
              <w:rPr>
                <w:rFonts w:eastAsiaTheme="minorEastAsia" w:hint="eastAsia"/>
              </w:rPr>
              <w:t>.</w:t>
            </w:r>
          </w:p>
        </w:tc>
      </w:tr>
      <w:tr w:rsidR="00EA567C" w14:paraId="15B4B406" w14:textId="77777777">
        <w:tc>
          <w:tcPr>
            <w:tcW w:w="1975" w:type="dxa"/>
          </w:tcPr>
          <w:p w14:paraId="15B4B403"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404" w14:textId="77777777" w:rsidR="00EA567C" w:rsidRDefault="00786B2D">
            <w:pPr>
              <w:spacing w:after="0"/>
              <w:rPr>
                <w:rFonts w:eastAsia="Malgun Gothic"/>
                <w:lang w:eastAsia="ko-KR"/>
              </w:rPr>
            </w:pPr>
            <w:r>
              <w:rPr>
                <w:rFonts w:eastAsia="Malgun Gothic" w:hint="eastAsia"/>
                <w:lang w:eastAsia="ko-KR"/>
              </w:rPr>
              <w:t>2.c</w:t>
            </w:r>
          </w:p>
        </w:tc>
        <w:tc>
          <w:tcPr>
            <w:tcW w:w="6205" w:type="dxa"/>
          </w:tcPr>
          <w:p w14:paraId="15B4B405" w14:textId="77777777" w:rsidR="00EA567C" w:rsidRDefault="00786B2D">
            <w:pPr>
              <w:spacing w:after="0"/>
              <w:rPr>
                <w:rFonts w:eastAsia="Malgun Gothic"/>
                <w:lang w:eastAsia="ko-KR"/>
              </w:rPr>
            </w:pPr>
            <w:r>
              <w:rPr>
                <w:rFonts w:eastAsia="Malgun Gothic" w:hint="eastAsia"/>
                <w:lang w:eastAsia="ko-KR"/>
              </w:rPr>
              <w:t xml:space="preserve">We think the network can indicate whether to re-establish PDCP </w:t>
            </w:r>
            <w:r>
              <w:rPr>
                <w:rFonts w:eastAsia="Malgun Gothic"/>
                <w:lang w:eastAsia="ko-KR"/>
              </w:rPr>
              <w:t xml:space="preserve">entities </w:t>
            </w:r>
            <w:r>
              <w:rPr>
                <w:rFonts w:eastAsia="Malgun Gothic" w:hint="eastAsia"/>
                <w:lang w:eastAsia="ko-KR"/>
              </w:rPr>
              <w:t xml:space="preserve">or not </w:t>
            </w:r>
            <w:r>
              <w:rPr>
                <w:rFonts w:eastAsia="Malgun Gothic"/>
                <w:lang w:eastAsia="ko-KR"/>
              </w:rPr>
              <w:t xml:space="preserve">for each RB </w:t>
            </w:r>
            <w:r>
              <w:rPr>
                <w:rFonts w:eastAsia="Malgun Gothic" w:hint="eastAsia"/>
                <w:lang w:eastAsia="ko-KR"/>
              </w:rPr>
              <w:t>in the RRCResume message</w:t>
            </w:r>
            <w:r>
              <w:rPr>
                <w:rFonts w:eastAsia="Malgun Gothic"/>
                <w:lang w:eastAsia="ko-KR"/>
              </w:rPr>
              <w:t xml:space="preserve">. Thus, RAN2 does not have to discuss this issue. Moreover, we think there is no problem to </w:t>
            </w:r>
            <w:r>
              <w:rPr>
                <w:rFonts w:eastAsia="Malgun Gothic" w:hint="eastAsia"/>
                <w:lang w:eastAsia="ko-KR"/>
              </w:rPr>
              <w:t>re-establish PDCP entities for SDT RB</w:t>
            </w:r>
            <w:r>
              <w:rPr>
                <w:rFonts w:eastAsia="Malgun Gothic"/>
                <w:lang w:eastAsia="ko-KR"/>
              </w:rPr>
              <w:t>s again even if they were already re-stablished at initiation of SDT procedure.</w:t>
            </w:r>
          </w:p>
        </w:tc>
      </w:tr>
      <w:tr w:rsidR="00B330E6" w14:paraId="36BC6F2F" w14:textId="77777777">
        <w:tc>
          <w:tcPr>
            <w:tcW w:w="1975" w:type="dxa"/>
          </w:tcPr>
          <w:p w14:paraId="51E5CEEE" w14:textId="44E501DA" w:rsidR="00B330E6" w:rsidRDefault="00B330E6" w:rsidP="00B330E6">
            <w:pPr>
              <w:spacing w:after="0"/>
              <w:rPr>
                <w:rFonts w:eastAsia="Malgun Gothic"/>
                <w:lang w:eastAsia="ko-KR"/>
              </w:rPr>
            </w:pPr>
            <w:r>
              <w:t>Intel</w:t>
            </w:r>
          </w:p>
        </w:tc>
        <w:tc>
          <w:tcPr>
            <w:tcW w:w="1170" w:type="dxa"/>
          </w:tcPr>
          <w:p w14:paraId="78406B88" w14:textId="53409983" w:rsidR="00B330E6" w:rsidRDefault="00B330E6" w:rsidP="00B330E6">
            <w:pPr>
              <w:spacing w:after="0"/>
              <w:rPr>
                <w:rFonts w:eastAsia="Malgun Gothic"/>
                <w:lang w:eastAsia="ko-KR"/>
              </w:rPr>
            </w:pPr>
            <w:r>
              <w:t>2.a)</w:t>
            </w:r>
          </w:p>
        </w:tc>
        <w:tc>
          <w:tcPr>
            <w:tcW w:w="6205" w:type="dxa"/>
          </w:tcPr>
          <w:p w14:paraId="5A6A2FE6" w14:textId="23A6F30A" w:rsidR="00B330E6" w:rsidRDefault="00B330E6" w:rsidP="00B330E6">
            <w:pPr>
              <w:spacing w:after="0"/>
              <w:rPr>
                <w:rFonts w:eastAsia="Malgun Gothic"/>
                <w:lang w:eastAsia="ko-KR"/>
              </w:rPr>
            </w:pPr>
            <w:r>
              <w:t>The intention of the question was to focus on the handling of non-SDT RBs when switching from SDT to CONNECTED. For the handling of SDT RBs, we share the view explained by Huawei and others that its handling may depend on the solution chosen to address previous Topic #1.</w:t>
            </w:r>
          </w:p>
        </w:tc>
      </w:tr>
      <w:tr w:rsidR="00D56910" w14:paraId="465407ED" w14:textId="77777777">
        <w:tc>
          <w:tcPr>
            <w:tcW w:w="1975" w:type="dxa"/>
          </w:tcPr>
          <w:p w14:paraId="73F83E82" w14:textId="6C735C1D" w:rsidR="00D56910" w:rsidRDefault="00D56910" w:rsidP="00D56910">
            <w:pPr>
              <w:spacing w:after="0"/>
            </w:pPr>
            <w:r>
              <w:rPr>
                <w:lang w:eastAsia="zh-CN"/>
              </w:rPr>
              <w:t>NEC</w:t>
            </w:r>
          </w:p>
        </w:tc>
        <w:tc>
          <w:tcPr>
            <w:tcW w:w="1170" w:type="dxa"/>
          </w:tcPr>
          <w:p w14:paraId="158302EE" w14:textId="20A1A951" w:rsidR="00D56910" w:rsidRDefault="00D56910" w:rsidP="00D56910">
            <w:pPr>
              <w:spacing w:after="0"/>
            </w:pPr>
            <w:r>
              <w:t>Option 2.a should be baseline</w:t>
            </w:r>
          </w:p>
        </w:tc>
        <w:tc>
          <w:tcPr>
            <w:tcW w:w="6205" w:type="dxa"/>
          </w:tcPr>
          <w:p w14:paraId="5E14281F" w14:textId="74E947BD" w:rsidR="00D56910" w:rsidRDefault="00D56910" w:rsidP="00D56910">
            <w:pPr>
              <w:spacing w:after="0"/>
            </w:pPr>
            <w:r>
              <w:rPr>
                <w:lang w:eastAsia="zh-CN"/>
              </w:rPr>
              <w:t>Option 2.a should be baseline. For the case of anchor relocation in middle of one SDT procedure, we can discuss only if such scenario is supported.</w:t>
            </w:r>
          </w:p>
        </w:tc>
      </w:tr>
    </w:tbl>
    <w:p w14:paraId="15B4B407" w14:textId="77777777" w:rsidR="00EA567C" w:rsidRDefault="00EA567C">
      <w:pPr>
        <w:rPr>
          <w:rFonts w:ascii="Times New Roman" w:hAnsi="Times New Roman" w:cs="Times New Roman"/>
          <w:sz w:val="20"/>
          <w:szCs w:val="20"/>
        </w:rPr>
      </w:pPr>
    </w:p>
    <w:p w14:paraId="15B4B408" w14:textId="77777777" w:rsidR="00EA567C" w:rsidRDefault="00EA567C">
      <w:pPr>
        <w:rPr>
          <w:rFonts w:ascii="Times New Roman" w:hAnsi="Times New Roman" w:cs="Times New Roman"/>
          <w:sz w:val="20"/>
          <w:szCs w:val="20"/>
        </w:rPr>
      </w:pPr>
    </w:p>
    <w:p w14:paraId="15B4B409" w14:textId="77777777" w:rsidR="00EA567C" w:rsidRDefault="00786B2D">
      <w:pPr>
        <w:pStyle w:val="1"/>
        <w:numPr>
          <w:ilvl w:val="0"/>
          <w:numId w:val="2"/>
        </w:numPr>
      </w:pPr>
      <w:bookmarkStart w:id="48" w:name="_Ref73829764"/>
      <w:bookmarkStart w:id="49" w:name="_Ref74146724"/>
      <w:bookmarkStart w:id="50" w:name="_Hlk73737456"/>
      <w:r>
        <w:t>Non-SDT data handling during ongoing SDT session</w:t>
      </w:r>
      <w:bookmarkEnd w:id="48"/>
      <w:bookmarkEnd w:id="49"/>
    </w:p>
    <w:p w14:paraId="15B4B40A" w14:textId="77777777" w:rsidR="00EA567C" w:rsidRDefault="00786B2D">
      <w:pPr>
        <w:spacing w:after="60"/>
        <w:rPr>
          <w:rFonts w:ascii="Times New Roman" w:hAnsi="Times New Roman" w:cs="Times New Roman"/>
          <w:color w:val="0000CC"/>
          <w:sz w:val="20"/>
          <w:szCs w:val="20"/>
          <w:lang w:eastAsia="x-none"/>
        </w:rPr>
      </w:pPr>
      <w:r>
        <w:rPr>
          <w:rFonts w:ascii="Times New Roman" w:hAnsi="Times New Roman" w:cs="Times New Roman"/>
          <w:color w:val="0000CC"/>
          <w:sz w:val="20"/>
          <w:szCs w:val="20"/>
          <w:lang w:eastAsia="x-none"/>
        </w:rPr>
        <w:t>The discussion for the “non-SDT data handling” is split in three parts:</w:t>
      </w:r>
    </w:p>
    <w:p w14:paraId="15B4B40B" w14:textId="77777777" w:rsidR="00EA567C" w:rsidRDefault="00786B2D">
      <w:pPr>
        <w:pStyle w:val="a9"/>
        <w:numPr>
          <w:ilvl w:val="0"/>
          <w:numId w:val="24"/>
        </w:numPr>
        <w:spacing w:after="60"/>
        <w:contextualSpacing w:val="0"/>
        <w:rPr>
          <w:color w:val="0000CC"/>
          <w:lang w:eastAsia="x-none"/>
        </w:rPr>
      </w:pPr>
      <w:r>
        <w:rPr>
          <w:color w:val="0000CC"/>
          <w:lang w:eastAsia="x-none"/>
        </w:rPr>
        <w:t xml:space="preserve">Section </w:t>
      </w:r>
      <w:r>
        <w:rPr>
          <w:color w:val="0000CC"/>
          <w:lang w:eastAsia="x-none"/>
        </w:rPr>
        <w:fldChar w:fldCharType="begin"/>
      </w:r>
      <w:r>
        <w:rPr>
          <w:color w:val="0000CC"/>
          <w:lang w:eastAsia="x-none"/>
        </w:rPr>
        <w:instrText xml:space="preserve"> REF _Ref74135977 \r \h </w:instrText>
      </w:r>
      <w:r>
        <w:rPr>
          <w:color w:val="0000CC"/>
          <w:lang w:eastAsia="x-none"/>
        </w:rPr>
      </w:r>
      <w:r>
        <w:rPr>
          <w:color w:val="0000CC"/>
          <w:lang w:eastAsia="x-none"/>
        </w:rPr>
        <w:fldChar w:fldCharType="separate"/>
      </w:r>
      <w:r>
        <w:rPr>
          <w:color w:val="0000CC"/>
          <w:lang w:eastAsia="x-none"/>
        </w:rPr>
        <w:t>3.1</w:t>
      </w:r>
      <w:r>
        <w:rPr>
          <w:color w:val="0000CC"/>
          <w:lang w:eastAsia="x-none"/>
        </w:rPr>
        <w:fldChar w:fldCharType="end"/>
      </w:r>
      <w:r>
        <w:rPr>
          <w:color w:val="0000CC"/>
          <w:lang w:eastAsia="x-none"/>
        </w:rPr>
        <w:t xml:space="preserve"> addresses any general topics during the “start” of the SDT session. These topics seem independent on whether CCCH or DCCH based approach are used.</w:t>
      </w:r>
    </w:p>
    <w:p w14:paraId="15B4B40C" w14:textId="77777777" w:rsidR="00EA567C" w:rsidRDefault="00786B2D">
      <w:pPr>
        <w:pStyle w:val="a9"/>
        <w:numPr>
          <w:ilvl w:val="0"/>
          <w:numId w:val="24"/>
        </w:numPr>
        <w:spacing w:after="60"/>
        <w:contextualSpacing w:val="0"/>
        <w:rPr>
          <w:color w:val="0000CC"/>
          <w:lang w:eastAsia="x-none"/>
        </w:rPr>
      </w:pPr>
      <w:r>
        <w:rPr>
          <w:color w:val="0000CC"/>
          <w:lang w:eastAsia="x-none"/>
        </w:rPr>
        <w:t xml:space="preserve">Section </w:t>
      </w:r>
      <w:r>
        <w:rPr>
          <w:color w:val="0000CC"/>
          <w:lang w:eastAsia="x-none"/>
        </w:rPr>
        <w:fldChar w:fldCharType="begin"/>
      </w:r>
      <w:r>
        <w:rPr>
          <w:color w:val="0000CC"/>
          <w:lang w:eastAsia="x-none"/>
        </w:rPr>
        <w:instrText xml:space="preserve"> REF _Ref74125826 \r \h </w:instrText>
      </w:r>
      <w:r>
        <w:rPr>
          <w:color w:val="0000CC"/>
          <w:lang w:eastAsia="x-none"/>
        </w:rPr>
      </w:r>
      <w:r>
        <w:rPr>
          <w:color w:val="0000CC"/>
          <w:lang w:eastAsia="x-none"/>
        </w:rPr>
        <w:fldChar w:fldCharType="separate"/>
      </w:r>
      <w:r>
        <w:rPr>
          <w:color w:val="0000CC"/>
          <w:lang w:eastAsia="x-none"/>
        </w:rPr>
        <w:t>3.2</w:t>
      </w:r>
      <w:r>
        <w:rPr>
          <w:color w:val="0000CC"/>
          <w:lang w:eastAsia="x-none"/>
        </w:rPr>
        <w:fldChar w:fldCharType="end"/>
      </w:r>
      <w:r>
        <w:rPr>
          <w:color w:val="0000CC"/>
          <w:lang w:eastAsia="x-none"/>
        </w:rPr>
        <w:t xml:space="preserve"> focuses on CCCH-based approach when the SDT session is ongoing.</w:t>
      </w:r>
    </w:p>
    <w:p w14:paraId="15B4B40D" w14:textId="77777777" w:rsidR="00EA567C" w:rsidRDefault="00786B2D">
      <w:pPr>
        <w:pStyle w:val="a9"/>
        <w:numPr>
          <w:ilvl w:val="0"/>
          <w:numId w:val="24"/>
        </w:numPr>
        <w:rPr>
          <w:color w:val="0000CC"/>
        </w:rPr>
      </w:pPr>
      <w:r>
        <w:rPr>
          <w:color w:val="0000CC"/>
          <w:lang w:eastAsia="x-none"/>
        </w:rPr>
        <w:t xml:space="preserve">Section </w:t>
      </w:r>
      <w:r>
        <w:rPr>
          <w:color w:val="0000CC"/>
          <w:lang w:eastAsia="x-none"/>
        </w:rPr>
        <w:fldChar w:fldCharType="begin"/>
      </w:r>
      <w:r>
        <w:rPr>
          <w:color w:val="0000CC"/>
          <w:lang w:eastAsia="x-none"/>
        </w:rPr>
        <w:instrText xml:space="preserve"> REF _Ref74125851 \r \h </w:instrText>
      </w:r>
      <w:r>
        <w:rPr>
          <w:color w:val="0000CC"/>
          <w:lang w:eastAsia="x-none"/>
        </w:rPr>
      </w:r>
      <w:r>
        <w:rPr>
          <w:color w:val="0000CC"/>
          <w:lang w:eastAsia="x-none"/>
        </w:rPr>
        <w:fldChar w:fldCharType="separate"/>
      </w:r>
      <w:r>
        <w:rPr>
          <w:color w:val="0000CC"/>
          <w:lang w:eastAsia="x-none"/>
        </w:rPr>
        <w:t>3.3</w:t>
      </w:r>
      <w:r>
        <w:rPr>
          <w:color w:val="0000CC"/>
          <w:lang w:eastAsia="x-none"/>
        </w:rPr>
        <w:fldChar w:fldCharType="end"/>
      </w:r>
      <w:r>
        <w:rPr>
          <w:color w:val="0000CC"/>
          <w:lang w:eastAsia="x-none"/>
        </w:rPr>
        <w:t xml:space="preserve"> focuses on DCCH-based approach when the SDT session is ongoing.</w:t>
      </w:r>
    </w:p>
    <w:p w14:paraId="15B4B40E" w14:textId="77777777" w:rsidR="00EA567C" w:rsidRDefault="00786B2D">
      <w:pPr>
        <w:pStyle w:val="2"/>
      </w:pPr>
      <w:bookmarkStart w:id="51" w:name="_Ref74135977"/>
      <w:bookmarkStart w:id="52" w:name="_Ref73829785"/>
      <w:bookmarkStart w:id="53" w:name="_Ref74125760"/>
      <w:bookmarkEnd w:id="50"/>
      <w:r>
        <w:t>General topics</w:t>
      </w:r>
      <w:bookmarkEnd w:id="51"/>
      <w:bookmarkEnd w:id="52"/>
      <w:bookmarkEnd w:id="53"/>
    </w:p>
    <w:p w14:paraId="15B4B40F" w14:textId="77777777" w:rsidR="00EA567C" w:rsidRDefault="00786B2D">
      <w:pPr>
        <w:pStyle w:val="3"/>
      </w:pPr>
      <w:r>
        <w:t>Topic #3: non-SDT Data available when “starting” an SDT session</w:t>
      </w:r>
    </w:p>
    <w:p w14:paraId="15B4B410"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Another scenario to address is the desirable behaviour is non-SDT Data is available when </w:t>
      </w:r>
      <w:r>
        <w:rPr>
          <w:rFonts w:ascii="Times New Roman" w:hAnsi="Times New Roman" w:cs="Times New Roman"/>
          <w:color w:val="0000CC"/>
          <w:sz w:val="20"/>
          <w:szCs w:val="20"/>
        </w:rPr>
        <w:t>“starting”</w:t>
      </w:r>
      <w:r>
        <w:rPr>
          <w:rFonts w:ascii="Times New Roman" w:hAnsi="Times New Roman" w:cs="Times New Roman"/>
          <w:sz w:val="20"/>
          <w:szCs w:val="20"/>
        </w:rPr>
        <w:t xml:space="preserve">  an SDT session, before UE sends the 1</w:t>
      </w:r>
      <w:r>
        <w:rPr>
          <w:rFonts w:ascii="Times New Roman" w:hAnsi="Times New Roman" w:cs="Times New Roman"/>
          <w:sz w:val="20"/>
          <w:szCs w:val="20"/>
          <w:vertAlign w:val="superscript"/>
        </w:rPr>
        <w:t>st</w:t>
      </w:r>
      <w:r>
        <w:rPr>
          <w:rFonts w:ascii="Times New Roman" w:hAnsi="Times New Roman" w:cs="Times New Roman"/>
          <w:sz w:val="20"/>
          <w:szCs w:val="20"/>
        </w:rPr>
        <w:t xml:space="preserve"> UL RRC message or before contention resolution which is discussed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_Ref74088868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t>.  It might be important to discuss separately both scenarios</w:t>
      </w:r>
      <w:r>
        <w:rPr>
          <w:rFonts w:ascii="Times New Roman" w:hAnsi="Times New Roman" w:cs="Times New Roman"/>
          <w:color w:val="0000CC"/>
          <w:sz w:val="20"/>
          <w:szCs w:val="20"/>
        </w:rPr>
        <w:t>, as well as, a new one suggested by the responses provided during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w:t>
      </w:r>
    </w:p>
    <w:p w14:paraId="15B4B411" w14:textId="77777777" w:rsidR="00EA567C" w:rsidRDefault="00786B2D">
      <w:pPr>
        <w:pStyle w:val="a9"/>
        <w:numPr>
          <w:ilvl w:val="0"/>
          <w:numId w:val="8"/>
        </w:numPr>
        <w:spacing w:after="60"/>
        <w:contextualSpacing w:val="0"/>
        <w:jc w:val="both"/>
        <w:rPr>
          <w:lang w:eastAsia="x-none"/>
        </w:rPr>
      </w:pPr>
      <w:bookmarkStart w:id="54" w:name="OLE_LINK469"/>
      <w:bookmarkStart w:id="55" w:name="OLE_LINK470"/>
      <w:r>
        <w:rPr>
          <w:lang w:eastAsia="x-none"/>
        </w:rPr>
        <w:t xml:space="preserve">Scenario 1) </w:t>
      </w:r>
      <w:r>
        <w:t xml:space="preserve">When non-SDT Data becomes available after UE has initiated an SDT procedure </w:t>
      </w:r>
      <w:r>
        <w:rPr>
          <w:color w:val="0000CC"/>
        </w:rPr>
        <w:t>(i.e. UE sends RACH preamble)</w:t>
      </w:r>
      <w:r>
        <w:t>, but 1</w:t>
      </w:r>
      <w:r>
        <w:rPr>
          <w:vertAlign w:val="superscript"/>
        </w:rPr>
        <w:t>st</w:t>
      </w:r>
      <w:r>
        <w:t xml:space="preserve"> UL RRC message has not been sent yet. This could be when UE has already sent PRACH preamble when using 4-step RA-SDT.</w:t>
      </w:r>
      <w:bookmarkEnd w:id="54"/>
      <w:bookmarkEnd w:id="55"/>
      <w:r>
        <w:t xml:space="preserve"> </w:t>
      </w:r>
      <w:r>
        <w:rPr>
          <w:color w:val="0000CC"/>
        </w:rPr>
        <w:t>Scenario 1) only targets RA-SDT.</w:t>
      </w:r>
    </w:p>
    <w:p w14:paraId="15B4B412" w14:textId="77777777" w:rsidR="00EA567C" w:rsidRDefault="00786B2D">
      <w:pPr>
        <w:pStyle w:val="a9"/>
        <w:numPr>
          <w:ilvl w:val="0"/>
          <w:numId w:val="8"/>
        </w:numPr>
        <w:spacing w:after="60"/>
        <w:contextualSpacing w:val="0"/>
        <w:jc w:val="both"/>
        <w:rPr>
          <w:lang w:eastAsia="x-none"/>
        </w:rPr>
      </w:pPr>
      <w:r>
        <w:rPr>
          <w:lang w:eastAsia="x-none"/>
        </w:rPr>
        <w:t xml:space="preserve">Scenario 2) </w:t>
      </w:r>
      <w:bookmarkStart w:id="56" w:name="OLE_LINK471"/>
      <w:bookmarkStart w:id="57" w:name="OLE_LINK472"/>
      <w:r>
        <w:t>When non-SDT Data becomes available after UE has initiated an SDT procedure and has sent the 1</w:t>
      </w:r>
      <w:r>
        <w:rPr>
          <w:vertAlign w:val="superscript"/>
        </w:rPr>
        <w:t>st</w:t>
      </w:r>
      <w:r>
        <w:t xml:space="preserve"> UL RRC message </w:t>
      </w:r>
      <w:r>
        <w:rPr>
          <w:color w:val="0000CC"/>
        </w:rPr>
        <w:t>+ data successfully</w:t>
      </w:r>
      <w:r>
        <w:t xml:space="preserve">, but </w:t>
      </w:r>
      <w:bookmarkEnd w:id="56"/>
      <w:bookmarkEnd w:id="57"/>
      <w:r>
        <w:t xml:space="preserve">contention resolution has not been received by UE in Msg.4/Msg.B. </w:t>
      </w:r>
      <w:r>
        <w:rPr>
          <w:color w:val="0000CC"/>
        </w:rPr>
        <w:t>Scenario 2) only targets RA-SDT.</w:t>
      </w:r>
    </w:p>
    <w:p w14:paraId="15B4B413" w14:textId="77777777" w:rsidR="00EA567C" w:rsidRDefault="00786B2D">
      <w:pPr>
        <w:pStyle w:val="a9"/>
        <w:numPr>
          <w:ilvl w:val="0"/>
          <w:numId w:val="8"/>
        </w:numPr>
        <w:contextualSpacing w:val="0"/>
        <w:jc w:val="both"/>
        <w:rPr>
          <w:lang w:eastAsia="x-none"/>
        </w:rPr>
      </w:pPr>
      <w:r>
        <w:rPr>
          <w:color w:val="0000CC"/>
        </w:rPr>
        <w:t>Scenario x) When non-SDT Data becomes available after UE has initiated an SDT procedure and has sent the 1st UL RRC message + data via CG resource, but UE has not received any feedback during the CG response window. Scenario x) only targets CG-SDT.</w:t>
      </w:r>
    </w:p>
    <w:p w14:paraId="15B4B414" w14:textId="77777777" w:rsidR="00EA567C" w:rsidRDefault="00786B2D">
      <w:pPr>
        <w:pStyle w:val="a9"/>
        <w:numPr>
          <w:ilvl w:val="0"/>
          <w:numId w:val="6"/>
        </w:numPr>
        <w:ind w:left="360"/>
        <w:jc w:val="both"/>
        <w:rPr>
          <w:color w:val="A6A6A6" w:themeColor="background1" w:themeShade="A6"/>
        </w:rPr>
      </w:pPr>
      <w:r>
        <w:rPr>
          <w:color w:val="A6A6A6" w:themeColor="background1" w:themeShade="A6"/>
        </w:rPr>
        <w:t>The expected UE behaviour when non-SDT Data becomes available after UE has initiated an SDT procedure for: scenario 1) 1</w:t>
      </w:r>
      <w:r>
        <w:rPr>
          <w:color w:val="A6A6A6" w:themeColor="background1" w:themeShade="A6"/>
          <w:vertAlign w:val="superscript"/>
        </w:rPr>
        <w:t>st</w:t>
      </w:r>
      <w:r>
        <w:rPr>
          <w:color w:val="A6A6A6" w:themeColor="background1" w:themeShade="A6"/>
        </w:rPr>
        <w:t xml:space="preserve"> UL RRC message has not been sent yet and scenario 2) contention resolution has not been done.</w:t>
      </w:r>
    </w:p>
    <w:p w14:paraId="15B4B415"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lastRenderedPageBreak/>
        <w:t xml:space="preserve">The following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_Ref75001718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Q.7)</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to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_Ref75003818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Q.9)</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are created based on previous discussion point and the responses provided during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15B4B416" w14:textId="77777777" w:rsidR="00EA567C" w:rsidRDefault="00786B2D">
      <w:pPr>
        <w:pStyle w:val="4"/>
        <w:rPr>
          <w:color w:val="0000CC"/>
        </w:rPr>
      </w:pPr>
      <w:r>
        <w:rPr>
          <w:color w:val="0000CC"/>
          <w:lang w:val="en-US"/>
        </w:rPr>
        <w:fldChar w:fldCharType="begin"/>
      </w:r>
      <w:r>
        <w:rPr>
          <w:color w:val="0000CC"/>
          <w:lang w:val="en-US"/>
        </w:rPr>
        <w:instrText xml:space="preserve"> REF _Ref75001718 \r \h </w:instrText>
      </w:r>
      <w:r>
        <w:rPr>
          <w:color w:val="0000CC"/>
          <w:lang w:val="en-US"/>
        </w:rPr>
      </w:r>
      <w:r>
        <w:rPr>
          <w:color w:val="0000CC"/>
          <w:lang w:val="en-US"/>
        </w:rPr>
        <w:fldChar w:fldCharType="separate"/>
      </w:r>
      <w:r>
        <w:rPr>
          <w:color w:val="0000CC"/>
          <w:lang w:val="en-US"/>
        </w:rPr>
        <w:t>Q.7)</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417" w14:textId="77777777" w:rsidR="00EA567C" w:rsidRDefault="00786B2D">
      <w:pPr>
        <w:pStyle w:val="a9"/>
        <w:numPr>
          <w:ilvl w:val="0"/>
          <w:numId w:val="30"/>
        </w:numPr>
        <w:overflowPunct/>
        <w:autoSpaceDE/>
        <w:autoSpaceDN/>
        <w:adjustRightInd/>
        <w:spacing w:after="120" w:line="259" w:lineRule="auto"/>
        <w:contextualSpacing w:val="0"/>
        <w:jc w:val="both"/>
      </w:pPr>
      <w:bookmarkStart w:id="58" w:name="_Ref75001718"/>
      <w:r>
        <w:rPr>
          <w:color w:val="0000CC"/>
        </w:rPr>
        <w:t xml:space="preserve">What is the expected UE behaviour for </w:t>
      </w:r>
      <w:r>
        <w:rPr>
          <w:b/>
          <w:bCs/>
          <w:color w:val="0000CC"/>
        </w:rPr>
        <w:t>scenario 1)</w:t>
      </w:r>
      <w:r>
        <w:rPr>
          <w:color w:val="0000CC"/>
        </w:rPr>
        <w:t xml:space="preserve"> when non-SDT Data becomes available after UE has initiated an SDT procedure (i.e. RACH preamble is sent) but 1st UL RRC message has not been sent yet?</w:t>
      </w:r>
      <w:bookmarkEnd w:id="58"/>
    </w:p>
    <w:tbl>
      <w:tblPr>
        <w:tblStyle w:val="ab"/>
        <w:tblW w:w="5000" w:type="pct"/>
        <w:tblLook w:val="04A0" w:firstRow="1" w:lastRow="0" w:firstColumn="1" w:lastColumn="0" w:noHBand="0" w:noVBand="1"/>
      </w:tblPr>
      <w:tblGrid>
        <w:gridCol w:w="1975"/>
        <w:gridCol w:w="7375"/>
      </w:tblGrid>
      <w:tr w:rsidR="00EA567C" w14:paraId="15B4B41A" w14:textId="77777777">
        <w:tc>
          <w:tcPr>
            <w:tcW w:w="1056" w:type="pct"/>
            <w:shd w:val="clear" w:color="auto" w:fill="BFBFBF" w:themeFill="background1" w:themeFillShade="BF"/>
          </w:tcPr>
          <w:p w14:paraId="15B4B418" w14:textId="77777777" w:rsidR="00EA567C" w:rsidRDefault="00786B2D">
            <w:pPr>
              <w:spacing w:after="0"/>
              <w:jc w:val="center"/>
              <w:rPr>
                <w:b/>
                <w:bCs/>
              </w:rPr>
            </w:pPr>
            <w:r>
              <w:rPr>
                <w:b/>
                <w:bCs/>
              </w:rPr>
              <w:t>Company’s name</w:t>
            </w:r>
          </w:p>
        </w:tc>
        <w:tc>
          <w:tcPr>
            <w:tcW w:w="3944" w:type="pct"/>
            <w:shd w:val="clear" w:color="auto" w:fill="BFBFBF" w:themeFill="background1" w:themeFillShade="BF"/>
          </w:tcPr>
          <w:p w14:paraId="15B4B419" w14:textId="77777777" w:rsidR="00EA567C" w:rsidRDefault="00786B2D">
            <w:pPr>
              <w:spacing w:after="0"/>
              <w:jc w:val="center"/>
              <w:rPr>
                <w:b/>
                <w:bCs/>
              </w:rPr>
            </w:pPr>
            <w:r>
              <w:rPr>
                <w:b/>
                <w:bCs/>
              </w:rPr>
              <w:t>Companies’ views</w:t>
            </w:r>
          </w:p>
        </w:tc>
      </w:tr>
      <w:tr w:rsidR="00EA567C" w14:paraId="15B4B41D" w14:textId="77777777">
        <w:tc>
          <w:tcPr>
            <w:tcW w:w="1056" w:type="pct"/>
          </w:tcPr>
          <w:p w14:paraId="15B4B41B" w14:textId="77777777" w:rsidR="00EA567C" w:rsidRDefault="00786B2D">
            <w:pPr>
              <w:spacing w:after="0"/>
            </w:pPr>
            <w:r>
              <w:t>Huawei, HiSilicon</w:t>
            </w:r>
          </w:p>
        </w:tc>
        <w:tc>
          <w:tcPr>
            <w:tcW w:w="3944" w:type="pct"/>
          </w:tcPr>
          <w:p w14:paraId="15B4B41C" w14:textId="77777777" w:rsidR="00EA567C" w:rsidRDefault="00786B2D">
            <w:pPr>
              <w:spacing w:after="0"/>
            </w:pPr>
            <w:r>
              <w:t>The UE should terminate the current RACH procedure and initiate a new one, i.e. send a non-SDT RACH preamble and CCCH/RRCResumeRequest message.</w:t>
            </w:r>
          </w:p>
        </w:tc>
      </w:tr>
      <w:tr w:rsidR="00EA567C" w14:paraId="15B4B425" w14:textId="77777777">
        <w:tc>
          <w:tcPr>
            <w:tcW w:w="1056" w:type="pct"/>
          </w:tcPr>
          <w:p w14:paraId="15B4B41E" w14:textId="77777777" w:rsidR="00EA567C" w:rsidRDefault="00786B2D">
            <w:pPr>
              <w:spacing w:after="0"/>
            </w:pPr>
            <w:r>
              <w:t>ZTE</w:t>
            </w:r>
          </w:p>
        </w:tc>
        <w:tc>
          <w:tcPr>
            <w:tcW w:w="3944" w:type="pct"/>
          </w:tcPr>
          <w:p w14:paraId="15B4B41F" w14:textId="77777777" w:rsidR="00EA567C" w:rsidRDefault="00786B2D">
            <w:pPr>
              <w:spacing w:after="0"/>
            </w:pPr>
            <w:r>
              <w:t xml:space="preserve">Firstly, we think non-SDT data arriving </w:t>
            </w:r>
            <w:r>
              <w:rPr>
                <w:u w:val="single"/>
              </w:rPr>
              <w:t>after</w:t>
            </w:r>
            <w:r>
              <w:t xml:space="preserve"> RACH has been sent </w:t>
            </w:r>
            <w:r>
              <w:rPr>
                <w:u w:val="single"/>
              </w:rPr>
              <w:t>but before</w:t>
            </w:r>
            <w:r>
              <w:t xml:space="preserve"> getting a network response (e.g., before RAR/contention resolution) is a real corner case and there should not be a complicated optimization to handle this situation. </w:t>
            </w:r>
          </w:p>
          <w:p w14:paraId="15B4B420" w14:textId="77777777" w:rsidR="00EA567C" w:rsidRDefault="00EA567C">
            <w:pPr>
              <w:spacing w:after="0"/>
            </w:pPr>
          </w:p>
          <w:p w14:paraId="15B4B421" w14:textId="77777777" w:rsidR="00EA567C" w:rsidRDefault="00786B2D">
            <w:pPr>
              <w:spacing w:after="0"/>
            </w:pPr>
            <w:r>
              <w:t xml:space="preserve">For CCCH solution the UE will terminate the existing RACH procedure and initiate a new RRCResume Procedure. However, this is not needed in case of DCCH solution. </w:t>
            </w:r>
          </w:p>
          <w:p w14:paraId="15B4B422" w14:textId="77777777" w:rsidR="00EA567C" w:rsidRDefault="00EA567C">
            <w:pPr>
              <w:spacing w:after="0"/>
            </w:pPr>
          </w:p>
          <w:p w14:paraId="15B4B423" w14:textId="77777777" w:rsidR="00EA567C" w:rsidRDefault="00EA567C">
            <w:pPr>
              <w:spacing w:after="0"/>
            </w:pPr>
          </w:p>
          <w:p w14:paraId="15B4B424" w14:textId="77777777" w:rsidR="00EA567C" w:rsidRDefault="00786B2D">
            <w:pPr>
              <w:spacing w:after="0"/>
            </w:pPr>
            <w:r>
              <w:t xml:space="preserve">In case of DCCH solution, we can follow the existing procedure, i.e. today once the UE sends RACH preamble, it simply listens to DL for network response even if some new trigger happens in the meanwhile. Thus, in case of non-SDT-data arrival, we think UE simply can continue to follow the current RACH procedure. Even if a new RACH procedure is triggered, UE will need to send yet another RACH preamble and wait for network response anyway (i.e. it is in the same situation as before any way). </w:t>
            </w:r>
          </w:p>
        </w:tc>
      </w:tr>
      <w:tr w:rsidR="00EA567C" w14:paraId="15B4B429" w14:textId="77777777">
        <w:tc>
          <w:tcPr>
            <w:tcW w:w="1056" w:type="pct"/>
          </w:tcPr>
          <w:p w14:paraId="15B4B426" w14:textId="77777777" w:rsidR="00EA567C" w:rsidRDefault="00786B2D">
            <w:pPr>
              <w:spacing w:after="0"/>
            </w:pPr>
            <w:r>
              <w:t>InterDigital</w:t>
            </w:r>
          </w:p>
        </w:tc>
        <w:tc>
          <w:tcPr>
            <w:tcW w:w="3944" w:type="pct"/>
          </w:tcPr>
          <w:p w14:paraId="15B4B427" w14:textId="77777777" w:rsidR="00EA567C" w:rsidRDefault="00786B2D">
            <w:pPr>
              <w:spacing w:after="0"/>
            </w:pPr>
            <w:r>
              <w:t>We share ZTE view on the corner case and so we are not willing to optimise this case with any complicated solution.</w:t>
            </w:r>
          </w:p>
          <w:p w14:paraId="15B4B428" w14:textId="77777777" w:rsidR="00EA567C" w:rsidRDefault="00786B2D">
            <w:pPr>
              <w:spacing w:after="0"/>
            </w:pPr>
            <w:r>
              <w:t>Regarding to the original question, UE should terminate the existing RACH procedure and initiate the non-SDT resume procedure from the beginning (i.e. initiating the resume from the non-SDT preamble transmission.)</w:t>
            </w:r>
          </w:p>
        </w:tc>
      </w:tr>
      <w:tr w:rsidR="00EA567C" w14:paraId="15B4B42C" w14:textId="77777777">
        <w:tc>
          <w:tcPr>
            <w:tcW w:w="1056" w:type="pct"/>
          </w:tcPr>
          <w:p w14:paraId="15B4B42A" w14:textId="77777777" w:rsidR="00EA567C" w:rsidRDefault="00786B2D">
            <w:pPr>
              <w:spacing w:after="0"/>
            </w:pPr>
            <w:r>
              <w:t>CATT</w:t>
            </w:r>
          </w:p>
        </w:tc>
        <w:tc>
          <w:tcPr>
            <w:tcW w:w="3944" w:type="pct"/>
          </w:tcPr>
          <w:p w14:paraId="15B4B42B" w14:textId="77777777" w:rsidR="00EA567C" w:rsidRDefault="00786B2D">
            <w:pPr>
              <w:spacing w:after="0"/>
            </w:pPr>
            <w:r>
              <w:t>We prefer a unified UE behaviour for all stages of SDT procedure.</w:t>
            </w:r>
          </w:p>
        </w:tc>
      </w:tr>
      <w:tr w:rsidR="00EA567C" w14:paraId="15B4B42F" w14:textId="77777777">
        <w:tc>
          <w:tcPr>
            <w:tcW w:w="1056" w:type="pct"/>
          </w:tcPr>
          <w:p w14:paraId="15B4B42D" w14:textId="77777777" w:rsidR="00EA567C" w:rsidRDefault="00786B2D">
            <w:pPr>
              <w:spacing w:after="0"/>
            </w:pPr>
            <w:r>
              <w:rPr>
                <w:rFonts w:eastAsiaTheme="minorEastAsia" w:hint="eastAsia"/>
              </w:rPr>
              <w:t>Samsung</w:t>
            </w:r>
          </w:p>
        </w:tc>
        <w:tc>
          <w:tcPr>
            <w:tcW w:w="3944" w:type="pct"/>
          </w:tcPr>
          <w:p w14:paraId="15B4B42E" w14:textId="77777777" w:rsidR="00EA567C" w:rsidRDefault="00786B2D">
            <w:pPr>
              <w:spacing w:after="0"/>
            </w:pPr>
            <w:r>
              <w:rPr>
                <w:rFonts w:eastAsiaTheme="minorEastAsia" w:hint="eastAsia"/>
              </w:rPr>
              <w:t>Same view as ZTE</w:t>
            </w:r>
            <w:r>
              <w:rPr>
                <w:rFonts w:eastAsiaTheme="minorEastAsia"/>
              </w:rPr>
              <w:t>. We prefer a single solution for all the scenarios.</w:t>
            </w:r>
          </w:p>
        </w:tc>
      </w:tr>
      <w:tr w:rsidR="00EA567C" w14:paraId="15B4B432" w14:textId="77777777">
        <w:tc>
          <w:tcPr>
            <w:tcW w:w="1056" w:type="pct"/>
          </w:tcPr>
          <w:p w14:paraId="15B4B430" w14:textId="77777777" w:rsidR="00EA567C" w:rsidRDefault="00786B2D">
            <w:pPr>
              <w:spacing w:after="0"/>
              <w:rPr>
                <w:rFonts w:eastAsiaTheme="minorEastAsia"/>
              </w:rPr>
            </w:pPr>
            <w:r>
              <w:rPr>
                <w:rFonts w:eastAsiaTheme="minorEastAsia" w:hint="eastAsia"/>
              </w:rPr>
              <w:t>Fujitsu</w:t>
            </w:r>
          </w:p>
        </w:tc>
        <w:tc>
          <w:tcPr>
            <w:tcW w:w="3944" w:type="pct"/>
          </w:tcPr>
          <w:p w14:paraId="15B4B431" w14:textId="77777777" w:rsidR="00EA567C" w:rsidRDefault="00786B2D">
            <w:pPr>
              <w:spacing w:after="0"/>
              <w:rPr>
                <w:rFonts w:eastAsiaTheme="minorEastAsia"/>
              </w:rPr>
            </w:pPr>
            <w:r>
              <w:rPr>
                <w:rFonts w:eastAsiaTheme="minorEastAsia" w:hint="eastAsia"/>
              </w:rPr>
              <w:t xml:space="preserve">We think that case-by-case optimization is not good. </w:t>
            </w:r>
            <w:r>
              <w:rPr>
                <w:rFonts w:eastAsiaTheme="minorEastAsia"/>
              </w:rPr>
              <w:t>A single UE behaviour across all cases would be considered.</w:t>
            </w:r>
          </w:p>
        </w:tc>
      </w:tr>
      <w:tr w:rsidR="00EA567C" w14:paraId="15B4B435" w14:textId="77777777">
        <w:tc>
          <w:tcPr>
            <w:tcW w:w="1056" w:type="pct"/>
          </w:tcPr>
          <w:p w14:paraId="15B4B433" w14:textId="77777777" w:rsidR="00EA567C" w:rsidRDefault="00786B2D">
            <w:pPr>
              <w:spacing w:after="0"/>
            </w:pPr>
            <w:r>
              <w:rPr>
                <w:rFonts w:hint="eastAsia"/>
              </w:rPr>
              <w:t>LG</w:t>
            </w:r>
          </w:p>
        </w:tc>
        <w:tc>
          <w:tcPr>
            <w:tcW w:w="3944" w:type="pct"/>
          </w:tcPr>
          <w:p w14:paraId="15B4B434" w14:textId="77777777" w:rsidR="00EA567C" w:rsidRDefault="00786B2D">
            <w:pPr>
              <w:spacing w:after="0"/>
              <w:rPr>
                <w:rFonts w:eastAsia="Malgun Gothic"/>
                <w:lang w:eastAsia="ko-KR"/>
              </w:rPr>
            </w:pPr>
            <w:r>
              <w:rPr>
                <w:rFonts w:eastAsia="Malgun Gothic"/>
                <w:lang w:eastAsia="ko-KR"/>
              </w:rPr>
              <w:t>T</w:t>
            </w:r>
            <w:r>
              <w:rPr>
                <w:rFonts w:eastAsia="Malgun Gothic" w:hint="eastAsia"/>
                <w:lang w:eastAsia="ko-KR"/>
              </w:rPr>
              <w:t>he UE has to decide whether to keep the ongoing SDT procedure or not.</w:t>
            </w:r>
            <w:r>
              <w:rPr>
                <w:rFonts w:eastAsia="Malgun Gothic"/>
                <w:lang w:eastAsia="ko-KR"/>
              </w:rPr>
              <w:t xml:space="preserve"> If the UE thinks that SDT procedure is more important, the UE can keep the ongoing SDT procedure. Else, if the UE thinks that non-SDT data is more important, the UE terminates the ongoing SDT procedure and initiates a normal RRCResume procedure.</w:t>
            </w:r>
          </w:p>
        </w:tc>
      </w:tr>
      <w:tr w:rsidR="00137DE0" w14:paraId="555E3259" w14:textId="77777777">
        <w:tc>
          <w:tcPr>
            <w:tcW w:w="1056" w:type="pct"/>
          </w:tcPr>
          <w:p w14:paraId="077FD0E2" w14:textId="74589DB3" w:rsidR="00137DE0" w:rsidRDefault="00137DE0" w:rsidP="00137DE0">
            <w:pPr>
              <w:spacing w:after="0"/>
            </w:pPr>
            <w:r>
              <w:t>Intel</w:t>
            </w:r>
          </w:p>
        </w:tc>
        <w:tc>
          <w:tcPr>
            <w:tcW w:w="3944" w:type="pct"/>
          </w:tcPr>
          <w:p w14:paraId="4D7D276C" w14:textId="06A6DA6F" w:rsidR="00137DE0" w:rsidRDefault="00137DE0" w:rsidP="00137DE0">
            <w:pPr>
              <w:spacing w:after="0"/>
              <w:rPr>
                <w:rFonts w:eastAsia="Malgun Gothic"/>
                <w:lang w:eastAsia="ko-KR"/>
              </w:rPr>
            </w:pPr>
            <w:r>
              <w:t xml:space="preserve">We understand that this scenario 1) aims to address a corner case (as the likelihood that non-SDT data arrives while UE is starting SDT procedure or is waiting for network initial response is very low). On other hand, there are still lot of open issues to enable SDT mechanism. Therefore, we suggest RAN2 spending discussion time on more critical topics than this one and its handling can be left up to UE’s implementation. </w:t>
            </w:r>
          </w:p>
        </w:tc>
      </w:tr>
      <w:tr w:rsidR="00D56910" w14:paraId="3EAD597A" w14:textId="77777777">
        <w:tc>
          <w:tcPr>
            <w:tcW w:w="1056" w:type="pct"/>
          </w:tcPr>
          <w:p w14:paraId="30BB1A48" w14:textId="11198AD8" w:rsidR="00D56910" w:rsidRDefault="00D56910" w:rsidP="00D56910">
            <w:pPr>
              <w:spacing w:after="0"/>
            </w:pPr>
            <w:r>
              <w:rPr>
                <w:rFonts w:hint="eastAsia"/>
                <w:lang w:eastAsia="zh-CN"/>
              </w:rPr>
              <w:t>N</w:t>
            </w:r>
            <w:r>
              <w:rPr>
                <w:lang w:eastAsia="zh-CN"/>
              </w:rPr>
              <w:t>EC</w:t>
            </w:r>
          </w:p>
        </w:tc>
        <w:tc>
          <w:tcPr>
            <w:tcW w:w="3944" w:type="pct"/>
          </w:tcPr>
          <w:p w14:paraId="14EC0CA2" w14:textId="1BF03CF0" w:rsidR="00D56910" w:rsidRDefault="00D56910" w:rsidP="00D56910">
            <w:pPr>
              <w:spacing w:after="0"/>
            </w:pPr>
            <w:r>
              <w:t>It is better that one</w:t>
            </w:r>
            <w:r w:rsidRPr="00A72AF3">
              <w:t xml:space="preserve"> </w:t>
            </w:r>
            <w:r>
              <w:t>unified UE behaviour</w:t>
            </w:r>
            <w:r w:rsidRPr="00A72AF3">
              <w:t xml:space="preserve"> </w:t>
            </w:r>
            <w:r>
              <w:t xml:space="preserve">is applied </w:t>
            </w:r>
            <w:r w:rsidRPr="00A72AF3">
              <w:t>for all stages of SDT procedure.</w:t>
            </w:r>
            <w:r>
              <w:t xml:space="preserve"> And from that perspective, the CCCH solution can met this requirement.</w:t>
            </w:r>
          </w:p>
        </w:tc>
      </w:tr>
    </w:tbl>
    <w:p w14:paraId="15B4B436" w14:textId="77777777" w:rsidR="00EA567C" w:rsidRDefault="00EA567C">
      <w:pPr>
        <w:jc w:val="both"/>
        <w:rPr>
          <w:rFonts w:ascii="Times New Roman" w:hAnsi="Times New Roman" w:cs="Times New Roman"/>
          <w:sz w:val="20"/>
          <w:szCs w:val="20"/>
        </w:rPr>
      </w:pPr>
    </w:p>
    <w:p w14:paraId="15B4B437" w14:textId="77777777" w:rsidR="00EA567C" w:rsidRDefault="00786B2D">
      <w:pPr>
        <w:pStyle w:val="4"/>
        <w:rPr>
          <w:color w:val="0000CC"/>
        </w:rPr>
      </w:pPr>
      <w:r>
        <w:rPr>
          <w:color w:val="0000CC"/>
          <w:lang w:val="en-US"/>
        </w:rPr>
        <w:fldChar w:fldCharType="begin"/>
      </w:r>
      <w:r>
        <w:rPr>
          <w:color w:val="0000CC"/>
          <w:lang w:val="en-US"/>
        </w:rPr>
        <w:instrText xml:space="preserve"> REF _Ref75001722 \r \h </w:instrText>
      </w:r>
      <w:r>
        <w:rPr>
          <w:color w:val="0000CC"/>
          <w:lang w:val="en-US"/>
        </w:rPr>
      </w:r>
      <w:r>
        <w:rPr>
          <w:color w:val="0000CC"/>
          <w:lang w:val="en-US"/>
        </w:rPr>
        <w:fldChar w:fldCharType="separate"/>
      </w:r>
      <w:r>
        <w:rPr>
          <w:color w:val="0000CC"/>
          <w:lang w:val="en-US"/>
        </w:rPr>
        <w:t>Q.8)</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438" w14:textId="77777777" w:rsidR="00EA567C" w:rsidRDefault="00786B2D">
      <w:pPr>
        <w:pStyle w:val="a9"/>
        <w:numPr>
          <w:ilvl w:val="0"/>
          <w:numId w:val="30"/>
        </w:numPr>
        <w:overflowPunct/>
        <w:autoSpaceDE/>
        <w:autoSpaceDN/>
        <w:adjustRightInd/>
        <w:spacing w:after="120" w:line="259" w:lineRule="auto"/>
        <w:contextualSpacing w:val="0"/>
        <w:jc w:val="both"/>
        <w:rPr>
          <w:color w:val="0000CC"/>
        </w:rPr>
      </w:pPr>
      <w:bookmarkStart w:id="59" w:name="_Ref75001722"/>
      <w:r>
        <w:rPr>
          <w:color w:val="0000CC"/>
        </w:rPr>
        <w:t xml:space="preserve">What is the expected UE behaviour for </w:t>
      </w:r>
      <w:r>
        <w:rPr>
          <w:b/>
          <w:bCs/>
          <w:color w:val="0000CC"/>
        </w:rPr>
        <w:t>scenario 2)</w:t>
      </w:r>
      <w:r>
        <w:rPr>
          <w:color w:val="0000CC"/>
        </w:rPr>
        <w:t xml:space="preserve"> when non-SDT Data becomes available after UE has initiated an SDT procedure and has sent the 1</w:t>
      </w:r>
      <w:r>
        <w:rPr>
          <w:color w:val="0000CC"/>
          <w:vertAlign w:val="superscript"/>
        </w:rPr>
        <w:t>st</w:t>
      </w:r>
      <w:r>
        <w:rPr>
          <w:color w:val="0000CC"/>
        </w:rPr>
        <w:t xml:space="preserve"> UL RRC message + data successfully, but contention resolution has not been received by UE in Msg.4/Msg.B?</w:t>
      </w:r>
      <w:bookmarkEnd w:id="59"/>
    </w:p>
    <w:tbl>
      <w:tblPr>
        <w:tblStyle w:val="ab"/>
        <w:tblW w:w="5000" w:type="pct"/>
        <w:tblLook w:val="04A0" w:firstRow="1" w:lastRow="0" w:firstColumn="1" w:lastColumn="0" w:noHBand="0" w:noVBand="1"/>
      </w:tblPr>
      <w:tblGrid>
        <w:gridCol w:w="1975"/>
        <w:gridCol w:w="7375"/>
      </w:tblGrid>
      <w:tr w:rsidR="00EA567C" w14:paraId="15B4B43B" w14:textId="77777777">
        <w:tc>
          <w:tcPr>
            <w:tcW w:w="1056" w:type="pct"/>
            <w:shd w:val="clear" w:color="auto" w:fill="BFBFBF" w:themeFill="background1" w:themeFillShade="BF"/>
          </w:tcPr>
          <w:p w14:paraId="15B4B439" w14:textId="77777777" w:rsidR="00EA567C" w:rsidRDefault="00786B2D">
            <w:pPr>
              <w:spacing w:after="0"/>
              <w:jc w:val="center"/>
              <w:rPr>
                <w:b/>
                <w:bCs/>
              </w:rPr>
            </w:pPr>
            <w:r>
              <w:rPr>
                <w:b/>
                <w:bCs/>
              </w:rPr>
              <w:t>Company’s name</w:t>
            </w:r>
          </w:p>
        </w:tc>
        <w:tc>
          <w:tcPr>
            <w:tcW w:w="3944" w:type="pct"/>
            <w:shd w:val="clear" w:color="auto" w:fill="BFBFBF" w:themeFill="background1" w:themeFillShade="BF"/>
          </w:tcPr>
          <w:p w14:paraId="15B4B43A" w14:textId="77777777" w:rsidR="00EA567C" w:rsidRDefault="00786B2D">
            <w:pPr>
              <w:spacing w:after="0"/>
              <w:jc w:val="center"/>
              <w:rPr>
                <w:b/>
                <w:bCs/>
              </w:rPr>
            </w:pPr>
            <w:r>
              <w:rPr>
                <w:b/>
                <w:bCs/>
              </w:rPr>
              <w:t>Companies’ views</w:t>
            </w:r>
          </w:p>
        </w:tc>
      </w:tr>
      <w:tr w:rsidR="00EA567C" w14:paraId="15B4B43E" w14:textId="77777777">
        <w:tc>
          <w:tcPr>
            <w:tcW w:w="1056" w:type="pct"/>
          </w:tcPr>
          <w:p w14:paraId="15B4B43C" w14:textId="77777777" w:rsidR="00EA567C" w:rsidRDefault="00786B2D">
            <w:pPr>
              <w:spacing w:after="0"/>
            </w:pPr>
            <w:r>
              <w:lastRenderedPageBreak/>
              <w:t>Huawei, HiSilicon</w:t>
            </w:r>
          </w:p>
        </w:tc>
        <w:tc>
          <w:tcPr>
            <w:tcW w:w="3944" w:type="pct"/>
          </w:tcPr>
          <w:p w14:paraId="15B4B43D" w14:textId="77777777" w:rsidR="00EA567C" w:rsidRDefault="00786B2D">
            <w:pPr>
              <w:spacing w:after="0"/>
            </w:pPr>
            <w:r>
              <w:t>The same as in Q7, i.e. the UE should terminate the current RACH procedure and initiate a new one, i.e. send a non-SDT RACH preamble and CCCH/RRCResumeRequest message.</w:t>
            </w:r>
          </w:p>
        </w:tc>
      </w:tr>
      <w:tr w:rsidR="00EA567C" w14:paraId="15B4B441" w14:textId="77777777">
        <w:tc>
          <w:tcPr>
            <w:tcW w:w="1056" w:type="pct"/>
          </w:tcPr>
          <w:p w14:paraId="15B4B43F" w14:textId="77777777" w:rsidR="00EA567C" w:rsidRDefault="00786B2D">
            <w:pPr>
              <w:spacing w:after="0"/>
            </w:pPr>
            <w:r>
              <w:t>InterDigital</w:t>
            </w:r>
          </w:p>
        </w:tc>
        <w:tc>
          <w:tcPr>
            <w:tcW w:w="3944" w:type="pct"/>
          </w:tcPr>
          <w:p w14:paraId="15B4B440" w14:textId="77777777" w:rsidR="00EA567C" w:rsidRDefault="00786B2D">
            <w:pPr>
              <w:spacing w:after="0"/>
            </w:pPr>
            <w:r>
              <w:t>Same as Q7</w:t>
            </w:r>
          </w:p>
        </w:tc>
      </w:tr>
      <w:tr w:rsidR="00EA567C" w14:paraId="15B4B444" w14:textId="77777777">
        <w:tc>
          <w:tcPr>
            <w:tcW w:w="1056" w:type="pct"/>
          </w:tcPr>
          <w:p w14:paraId="15B4B442" w14:textId="77777777" w:rsidR="00EA567C" w:rsidRDefault="00786B2D">
            <w:pPr>
              <w:spacing w:after="0"/>
            </w:pPr>
            <w:r>
              <w:t>CATT</w:t>
            </w:r>
          </w:p>
        </w:tc>
        <w:tc>
          <w:tcPr>
            <w:tcW w:w="3944" w:type="pct"/>
          </w:tcPr>
          <w:p w14:paraId="15B4B443" w14:textId="77777777" w:rsidR="00EA567C" w:rsidRDefault="00786B2D">
            <w:pPr>
              <w:spacing w:after="0"/>
            </w:pPr>
            <w:r>
              <w:t>Same as Q7, a unified UE behaviour is preferred for all stages of SDT procedure. We don’t see strong motivation to differentiate different stages of SDT procedure.</w:t>
            </w:r>
          </w:p>
        </w:tc>
      </w:tr>
      <w:tr w:rsidR="00EA567C" w14:paraId="15B4B447" w14:textId="77777777">
        <w:tc>
          <w:tcPr>
            <w:tcW w:w="1056" w:type="pct"/>
          </w:tcPr>
          <w:p w14:paraId="15B4B445" w14:textId="77777777" w:rsidR="00EA567C" w:rsidRDefault="00786B2D">
            <w:pPr>
              <w:spacing w:after="0"/>
            </w:pPr>
            <w:r>
              <w:rPr>
                <w:rFonts w:eastAsiaTheme="minorEastAsia" w:hint="eastAsia"/>
              </w:rPr>
              <w:t>Samsung</w:t>
            </w:r>
          </w:p>
        </w:tc>
        <w:tc>
          <w:tcPr>
            <w:tcW w:w="3944" w:type="pct"/>
          </w:tcPr>
          <w:p w14:paraId="15B4B446" w14:textId="77777777" w:rsidR="00EA567C" w:rsidRDefault="00786B2D">
            <w:pPr>
              <w:spacing w:after="0"/>
            </w:pPr>
            <w:r>
              <w:rPr>
                <w:rFonts w:eastAsiaTheme="minorEastAsia" w:hint="eastAsia"/>
              </w:rPr>
              <w:t>Same as Q7</w:t>
            </w:r>
          </w:p>
        </w:tc>
      </w:tr>
      <w:tr w:rsidR="00EA567C" w14:paraId="15B4B44A" w14:textId="77777777">
        <w:tc>
          <w:tcPr>
            <w:tcW w:w="1056" w:type="pct"/>
          </w:tcPr>
          <w:p w14:paraId="15B4B448" w14:textId="77777777" w:rsidR="00EA567C" w:rsidRDefault="00786B2D">
            <w:pPr>
              <w:spacing w:after="0"/>
              <w:rPr>
                <w:rFonts w:eastAsiaTheme="minorEastAsia"/>
              </w:rPr>
            </w:pPr>
            <w:r>
              <w:rPr>
                <w:rFonts w:eastAsiaTheme="minorEastAsia" w:hint="eastAsia"/>
              </w:rPr>
              <w:t>Fujitsu</w:t>
            </w:r>
          </w:p>
        </w:tc>
        <w:tc>
          <w:tcPr>
            <w:tcW w:w="3944" w:type="pct"/>
          </w:tcPr>
          <w:p w14:paraId="15B4B449" w14:textId="77777777" w:rsidR="00EA567C" w:rsidRDefault="00786B2D">
            <w:pPr>
              <w:spacing w:after="0"/>
              <w:rPr>
                <w:rFonts w:eastAsiaTheme="minorEastAsia"/>
              </w:rPr>
            </w:pPr>
            <w:r>
              <w:rPr>
                <w:rFonts w:eastAsiaTheme="minorEastAsia"/>
              </w:rPr>
              <w:t xml:space="preserve">As commented in Q7, </w:t>
            </w:r>
            <w:r>
              <w:rPr>
                <w:rFonts w:eastAsiaTheme="minorEastAsia" w:hint="eastAsia"/>
              </w:rPr>
              <w:t xml:space="preserve">we think that case-by-case optimization is not good. </w:t>
            </w:r>
            <w:r>
              <w:rPr>
                <w:rFonts w:eastAsiaTheme="minorEastAsia"/>
              </w:rPr>
              <w:t>A single UE behaviour across all cases would be considered.</w:t>
            </w:r>
          </w:p>
        </w:tc>
      </w:tr>
      <w:tr w:rsidR="00EA567C" w14:paraId="15B4B44D" w14:textId="77777777">
        <w:tc>
          <w:tcPr>
            <w:tcW w:w="1056" w:type="pct"/>
          </w:tcPr>
          <w:p w14:paraId="15B4B44B" w14:textId="77777777" w:rsidR="00EA567C" w:rsidRDefault="00786B2D">
            <w:pPr>
              <w:spacing w:after="0"/>
            </w:pPr>
            <w:r>
              <w:rPr>
                <w:rFonts w:hint="eastAsia"/>
              </w:rPr>
              <w:t>LG</w:t>
            </w:r>
          </w:p>
        </w:tc>
        <w:tc>
          <w:tcPr>
            <w:tcW w:w="3944" w:type="pct"/>
          </w:tcPr>
          <w:p w14:paraId="15B4B44C" w14:textId="77777777" w:rsidR="00EA567C" w:rsidRDefault="00786B2D">
            <w:pPr>
              <w:spacing w:after="0"/>
              <w:rPr>
                <w:rFonts w:eastAsia="Malgun Gothic"/>
                <w:lang w:eastAsia="ko-KR"/>
              </w:rPr>
            </w:pPr>
            <w:r>
              <w:rPr>
                <w:rFonts w:eastAsiaTheme="minorEastAsia" w:hint="eastAsia"/>
              </w:rPr>
              <w:t>Same as Q7</w:t>
            </w:r>
          </w:p>
        </w:tc>
      </w:tr>
      <w:tr w:rsidR="00901CFF" w14:paraId="7F948E49" w14:textId="77777777">
        <w:tc>
          <w:tcPr>
            <w:tcW w:w="1056" w:type="pct"/>
          </w:tcPr>
          <w:p w14:paraId="2228215E" w14:textId="34646430" w:rsidR="00901CFF" w:rsidRDefault="00901CFF" w:rsidP="00901CFF">
            <w:pPr>
              <w:spacing w:after="0"/>
            </w:pPr>
            <w:r>
              <w:t>Intel</w:t>
            </w:r>
          </w:p>
        </w:tc>
        <w:tc>
          <w:tcPr>
            <w:tcW w:w="3944" w:type="pct"/>
          </w:tcPr>
          <w:p w14:paraId="7894CD4A" w14:textId="0A646619" w:rsidR="00901CFF" w:rsidRDefault="00901CFF" w:rsidP="00901CFF">
            <w:pPr>
              <w:spacing w:after="0"/>
              <w:rPr>
                <w:rFonts w:eastAsiaTheme="minorEastAsia"/>
              </w:rPr>
            </w:pPr>
            <w:r>
              <w:t>Response provided in previous Q.7) is also applicable here.</w:t>
            </w:r>
          </w:p>
        </w:tc>
      </w:tr>
      <w:tr w:rsidR="00D56910" w14:paraId="532D3AE3" w14:textId="77777777">
        <w:tc>
          <w:tcPr>
            <w:tcW w:w="1056" w:type="pct"/>
          </w:tcPr>
          <w:p w14:paraId="2F052D08" w14:textId="3FCC98DA" w:rsidR="00D56910" w:rsidRDefault="00D56910" w:rsidP="00D56910">
            <w:pPr>
              <w:spacing w:after="0"/>
            </w:pPr>
            <w:r>
              <w:rPr>
                <w:rFonts w:hint="eastAsia"/>
                <w:lang w:eastAsia="zh-CN"/>
              </w:rPr>
              <w:t>N</w:t>
            </w:r>
            <w:r>
              <w:rPr>
                <w:lang w:eastAsia="zh-CN"/>
              </w:rPr>
              <w:t>EC</w:t>
            </w:r>
          </w:p>
        </w:tc>
        <w:tc>
          <w:tcPr>
            <w:tcW w:w="3944" w:type="pct"/>
          </w:tcPr>
          <w:p w14:paraId="749D575B" w14:textId="2710B58B" w:rsidR="00D56910" w:rsidRDefault="00D56910" w:rsidP="00D56910">
            <w:pPr>
              <w:spacing w:after="0"/>
            </w:pPr>
            <w:r>
              <w:rPr>
                <w:lang w:eastAsia="zh-CN"/>
              </w:rPr>
              <w:t xml:space="preserve">Same as Q7, </w:t>
            </w:r>
            <w:r>
              <w:t>it is better that one</w:t>
            </w:r>
            <w:r w:rsidRPr="00A72AF3">
              <w:t xml:space="preserve"> </w:t>
            </w:r>
            <w:r>
              <w:t>unified UE behaviour</w:t>
            </w:r>
            <w:r w:rsidRPr="00A72AF3">
              <w:t xml:space="preserve"> </w:t>
            </w:r>
            <w:r>
              <w:t xml:space="preserve">is applied </w:t>
            </w:r>
            <w:r w:rsidRPr="00A72AF3">
              <w:t>for all stages of SDT procedure.</w:t>
            </w:r>
            <w:r>
              <w:t xml:space="preserve"> And from that perspective, the CCCH solution can met this requirement.</w:t>
            </w:r>
          </w:p>
        </w:tc>
      </w:tr>
    </w:tbl>
    <w:p w14:paraId="15B4B44E" w14:textId="77777777" w:rsidR="00EA567C" w:rsidRDefault="00EA567C">
      <w:pPr>
        <w:jc w:val="both"/>
        <w:rPr>
          <w:color w:val="0000CC"/>
          <w:lang w:val="x-none"/>
        </w:rPr>
      </w:pPr>
    </w:p>
    <w:p w14:paraId="15B4B44F" w14:textId="77777777" w:rsidR="00EA567C" w:rsidRDefault="00786B2D">
      <w:pPr>
        <w:pStyle w:val="4"/>
        <w:rPr>
          <w:color w:val="0000CC"/>
        </w:rPr>
      </w:pPr>
      <w:r>
        <w:rPr>
          <w:color w:val="0000CC"/>
          <w:lang w:val="en-US"/>
        </w:rPr>
        <w:fldChar w:fldCharType="begin"/>
      </w:r>
      <w:r>
        <w:rPr>
          <w:color w:val="0000CC"/>
          <w:lang w:val="en-US"/>
        </w:rPr>
        <w:instrText xml:space="preserve"> REF _Ref75003818 \r \h </w:instrText>
      </w:r>
      <w:r>
        <w:rPr>
          <w:color w:val="0000CC"/>
          <w:lang w:val="en-US"/>
        </w:rPr>
      </w:r>
      <w:r>
        <w:rPr>
          <w:color w:val="0000CC"/>
          <w:lang w:val="en-US"/>
        </w:rPr>
        <w:fldChar w:fldCharType="separate"/>
      </w:r>
      <w:r>
        <w:rPr>
          <w:color w:val="0000CC"/>
          <w:lang w:val="en-US"/>
        </w:rPr>
        <w:t>Q.9)</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450" w14:textId="77777777" w:rsidR="00EA567C" w:rsidRDefault="00786B2D">
      <w:pPr>
        <w:pStyle w:val="a9"/>
        <w:numPr>
          <w:ilvl w:val="0"/>
          <w:numId w:val="30"/>
        </w:numPr>
        <w:overflowPunct/>
        <w:autoSpaceDE/>
        <w:autoSpaceDN/>
        <w:adjustRightInd/>
        <w:spacing w:after="120" w:line="259" w:lineRule="auto"/>
        <w:contextualSpacing w:val="0"/>
        <w:jc w:val="both"/>
        <w:rPr>
          <w:color w:val="0000CC"/>
        </w:rPr>
      </w:pPr>
      <w:bookmarkStart w:id="60" w:name="_Ref75003818"/>
      <w:r>
        <w:rPr>
          <w:color w:val="0000CC"/>
        </w:rPr>
        <w:t xml:space="preserve">What is the expected UE behaviour for </w:t>
      </w:r>
      <w:r>
        <w:rPr>
          <w:b/>
          <w:bCs/>
          <w:color w:val="0000CC"/>
        </w:rPr>
        <w:t>scenario x)</w:t>
      </w:r>
      <w:r>
        <w:rPr>
          <w:color w:val="0000CC"/>
        </w:rPr>
        <w:t xml:space="preserve"> when non-SDT Data becomes available after UE has initiated an SDT procedure and has sent the 1st UL RRC message +data via CG resource, but UE has not received any feedback during the CG response window?</w:t>
      </w:r>
      <w:bookmarkEnd w:id="60"/>
    </w:p>
    <w:tbl>
      <w:tblPr>
        <w:tblStyle w:val="ab"/>
        <w:tblW w:w="5000" w:type="pct"/>
        <w:tblLook w:val="04A0" w:firstRow="1" w:lastRow="0" w:firstColumn="1" w:lastColumn="0" w:noHBand="0" w:noVBand="1"/>
      </w:tblPr>
      <w:tblGrid>
        <w:gridCol w:w="1975"/>
        <w:gridCol w:w="7375"/>
      </w:tblGrid>
      <w:tr w:rsidR="00EA567C" w14:paraId="15B4B453" w14:textId="77777777">
        <w:tc>
          <w:tcPr>
            <w:tcW w:w="1056" w:type="pct"/>
            <w:shd w:val="clear" w:color="auto" w:fill="BFBFBF" w:themeFill="background1" w:themeFillShade="BF"/>
          </w:tcPr>
          <w:p w14:paraId="15B4B451" w14:textId="77777777" w:rsidR="00EA567C" w:rsidRDefault="00786B2D">
            <w:pPr>
              <w:spacing w:after="0"/>
              <w:jc w:val="center"/>
              <w:rPr>
                <w:b/>
                <w:bCs/>
              </w:rPr>
            </w:pPr>
            <w:r>
              <w:rPr>
                <w:b/>
                <w:bCs/>
              </w:rPr>
              <w:t>Company’s name</w:t>
            </w:r>
          </w:p>
        </w:tc>
        <w:tc>
          <w:tcPr>
            <w:tcW w:w="3944" w:type="pct"/>
            <w:shd w:val="clear" w:color="auto" w:fill="BFBFBF" w:themeFill="background1" w:themeFillShade="BF"/>
          </w:tcPr>
          <w:p w14:paraId="15B4B452" w14:textId="77777777" w:rsidR="00EA567C" w:rsidRDefault="00786B2D">
            <w:pPr>
              <w:spacing w:after="0"/>
              <w:jc w:val="center"/>
              <w:rPr>
                <w:b/>
                <w:bCs/>
              </w:rPr>
            </w:pPr>
            <w:r>
              <w:rPr>
                <w:b/>
                <w:bCs/>
              </w:rPr>
              <w:t>Companies’ views</w:t>
            </w:r>
          </w:p>
        </w:tc>
      </w:tr>
      <w:tr w:rsidR="00EA567C" w14:paraId="15B4B456" w14:textId="77777777">
        <w:tc>
          <w:tcPr>
            <w:tcW w:w="1056" w:type="pct"/>
          </w:tcPr>
          <w:p w14:paraId="15B4B454" w14:textId="77777777" w:rsidR="00EA567C" w:rsidRDefault="00786B2D">
            <w:pPr>
              <w:spacing w:after="0"/>
            </w:pPr>
            <w:r>
              <w:t>Huawei, HiSilicon</w:t>
            </w:r>
          </w:p>
        </w:tc>
        <w:tc>
          <w:tcPr>
            <w:tcW w:w="3944" w:type="pct"/>
          </w:tcPr>
          <w:p w14:paraId="15B4B455" w14:textId="77777777" w:rsidR="00EA567C" w:rsidRDefault="00786B2D">
            <w:pPr>
              <w:spacing w:after="0"/>
            </w:pPr>
            <w:r>
              <w:t>Similar as in Q7, i.e. the UE should terminate the ongoing SDT procedure and initiate a RACH procedure, i.e. send a non-SDT RACH preamble and CCCH/RRCResumeRequest message.</w:t>
            </w:r>
          </w:p>
        </w:tc>
      </w:tr>
      <w:tr w:rsidR="00EA567C" w14:paraId="15B4B459" w14:textId="77777777">
        <w:tc>
          <w:tcPr>
            <w:tcW w:w="1056" w:type="pct"/>
          </w:tcPr>
          <w:p w14:paraId="15B4B457" w14:textId="77777777" w:rsidR="00EA567C" w:rsidRDefault="00786B2D">
            <w:pPr>
              <w:spacing w:after="0"/>
            </w:pPr>
            <w:r>
              <w:t>ZTE</w:t>
            </w:r>
          </w:p>
        </w:tc>
        <w:tc>
          <w:tcPr>
            <w:tcW w:w="3944" w:type="pct"/>
          </w:tcPr>
          <w:p w14:paraId="15B4B458" w14:textId="77777777" w:rsidR="00EA567C" w:rsidRDefault="00786B2D">
            <w:pPr>
              <w:spacing w:after="0"/>
            </w:pPr>
            <w:r>
              <w:t xml:space="preserve"> Same as Q7. In this case, it makes even more sense to wait for network response since only contention resolution is pending. </w:t>
            </w:r>
          </w:p>
        </w:tc>
      </w:tr>
      <w:tr w:rsidR="00EA567C" w14:paraId="15B4B45C" w14:textId="77777777">
        <w:tc>
          <w:tcPr>
            <w:tcW w:w="1056" w:type="pct"/>
          </w:tcPr>
          <w:p w14:paraId="15B4B45A" w14:textId="77777777" w:rsidR="00EA567C" w:rsidRDefault="00786B2D">
            <w:pPr>
              <w:spacing w:after="0"/>
            </w:pPr>
            <w:r>
              <w:rPr>
                <w:rFonts w:hint="eastAsia"/>
              </w:rPr>
              <w:t>InterDigital</w:t>
            </w:r>
          </w:p>
        </w:tc>
        <w:tc>
          <w:tcPr>
            <w:tcW w:w="3944" w:type="pct"/>
          </w:tcPr>
          <w:p w14:paraId="15B4B45B" w14:textId="77777777" w:rsidR="00EA567C" w:rsidRDefault="00786B2D">
            <w:pPr>
              <w:spacing w:after="0"/>
            </w:pPr>
            <w:r>
              <w:t>Same as Q7.</w:t>
            </w:r>
          </w:p>
        </w:tc>
      </w:tr>
      <w:tr w:rsidR="00EA567C" w14:paraId="15B4B45F" w14:textId="77777777">
        <w:tc>
          <w:tcPr>
            <w:tcW w:w="1056" w:type="pct"/>
          </w:tcPr>
          <w:p w14:paraId="15B4B45D" w14:textId="77777777" w:rsidR="00EA567C" w:rsidRDefault="00786B2D">
            <w:pPr>
              <w:spacing w:after="0"/>
            </w:pPr>
            <w:r>
              <w:t>CATT</w:t>
            </w:r>
          </w:p>
        </w:tc>
        <w:tc>
          <w:tcPr>
            <w:tcW w:w="3944" w:type="pct"/>
          </w:tcPr>
          <w:p w14:paraId="15B4B45E" w14:textId="77777777" w:rsidR="00EA567C" w:rsidRDefault="00786B2D">
            <w:pPr>
              <w:spacing w:after="0"/>
            </w:pPr>
            <w:r>
              <w:t>Same as Q7 and Q8, a unified UE behaviour is preferred for all stages of SDT procedure.</w:t>
            </w:r>
          </w:p>
        </w:tc>
      </w:tr>
      <w:tr w:rsidR="00EA567C" w14:paraId="15B4B462" w14:textId="77777777">
        <w:tc>
          <w:tcPr>
            <w:tcW w:w="1056" w:type="pct"/>
          </w:tcPr>
          <w:p w14:paraId="15B4B460" w14:textId="77777777" w:rsidR="00EA567C" w:rsidRDefault="00786B2D">
            <w:pPr>
              <w:spacing w:after="0"/>
            </w:pPr>
            <w:r>
              <w:rPr>
                <w:rFonts w:eastAsiaTheme="minorEastAsia" w:hint="eastAsia"/>
              </w:rPr>
              <w:t>Samsung</w:t>
            </w:r>
          </w:p>
        </w:tc>
        <w:tc>
          <w:tcPr>
            <w:tcW w:w="3944" w:type="pct"/>
          </w:tcPr>
          <w:p w14:paraId="15B4B461" w14:textId="77777777" w:rsidR="00EA567C" w:rsidRDefault="00786B2D">
            <w:pPr>
              <w:spacing w:after="0"/>
            </w:pPr>
            <w:r>
              <w:rPr>
                <w:rFonts w:eastAsiaTheme="minorEastAsia" w:hint="eastAsia"/>
              </w:rPr>
              <w:t>Same as Q7</w:t>
            </w:r>
          </w:p>
        </w:tc>
      </w:tr>
      <w:tr w:rsidR="00EA567C" w14:paraId="15B4B465" w14:textId="77777777">
        <w:tc>
          <w:tcPr>
            <w:tcW w:w="1056" w:type="pct"/>
          </w:tcPr>
          <w:p w14:paraId="15B4B463" w14:textId="77777777" w:rsidR="00EA567C" w:rsidRDefault="00786B2D">
            <w:pPr>
              <w:spacing w:after="0"/>
              <w:rPr>
                <w:rFonts w:eastAsiaTheme="minorEastAsia"/>
              </w:rPr>
            </w:pPr>
            <w:r>
              <w:rPr>
                <w:rFonts w:eastAsiaTheme="minorEastAsia" w:hint="eastAsia"/>
              </w:rPr>
              <w:t>Fujitsu</w:t>
            </w:r>
          </w:p>
        </w:tc>
        <w:tc>
          <w:tcPr>
            <w:tcW w:w="3944" w:type="pct"/>
          </w:tcPr>
          <w:p w14:paraId="15B4B464" w14:textId="77777777" w:rsidR="00EA567C" w:rsidRDefault="00786B2D">
            <w:pPr>
              <w:spacing w:after="0"/>
              <w:rPr>
                <w:rFonts w:eastAsiaTheme="minorEastAsia"/>
              </w:rPr>
            </w:pPr>
            <w:r>
              <w:rPr>
                <w:rFonts w:eastAsiaTheme="minorEastAsia"/>
              </w:rPr>
              <w:t xml:space="preserve">As commented in Q7, </w:t>
            </w:r>
            <w:r>
              <w:rPr>
                <w:rFonts w:eastAsiaTheme="minorEastAsia" w:hint="eastAsia"/>
              </w:rPr>
              <w:t xml:space="preserve">we think that case-by-case optimization is not good. </w:t>
            </w:r>
            <w:r>
              <w:rPr>
                <w:rFonts w:eastAsiaTheme="minorEastAsia"/>
              </w:rPr>
              <w:t>A single UE behaviour across all cases would be considered.</w:t>
            </w:r>
          </w:p>
        </w:tc>
      </w:tr>
      <w:tr w:rsidR="00EA567C" w14:paraId="15B4B468" w14:textId="77777777">
        <w:tc>
          <w:tcPr>
            <w:tcW w:w="1056" w:type="pct"/>
          </w:tcPr>
          <w:p w14:paraId="15B4B466" w14:textId="77777777" w:rsidR="00EA567C" w:rsidRDefault="00786B2D">
            <w:pPr>
              <w:spacing w:after="0"/>
            </w:pPr>
            <w:r>
              <w:rPr>
                <w:rFonts w:hint="eastAsia"/>
              </w:rPr>
              <w:t>LG</w:t>
            </w:r>
          </w:p>
        </w:tc>
        <w:tc>
          <w:tcPr>
            <w:tcW w:w="3944" w:type="pct"/>
          </w:tcPr>
          <w:p w14:paraId="15B4B467" w14:textId="77777777" w:rsidR="00EA567C" w:rsidRDefault="00786B2D">
            <w:pPr>
              <w:spacing w:after="0"/>
              <w:rPr>
                <w:rFonts w:eastAsia="Malgun Gothic"/>
                <w:lang w:eastAsia="ko-KR"/>
              </w:rPr>
            </w:pPr>
            <w:r>
              <w:rPr>
                <w:rFonts w:eastAsiaTheme="minorEastAsia" w:hint="eastAsia"/>
              </w:rPr>
              <w:t>Same as Q7</w:t>
            </w:r>
          </w:p>
        </w:tc>
      </w:tr>
      <w:tr w:rsidR="00901CFF" w14:paraId="2F6495CC" w14:textId="77777777">
        <w:tc>
          <w:tcPr>
            <w:tcW w:w="1056" w:type="pct"/>
          </w:tcPr>
          <w:p w14:paraId="02636059" w14:textId="0BD7C2A7" w:rsidR="00901CFF" w:rsidRDefault="00901CFF" w:rsidP="00901CFF">
            <w:pPr>
              <w:spacing w:after="0"/>
            </w:pPr>
            <w:r>
              <w:t>Intel</w:t>
            </w:r>
          </w:p>
        </w:tc>
        <w:tc>
          <w:tcPr>
            <w:tcW w:w="3944" w:type="pct"/>
          </w:tcPr>
          <w:p w14:paraId="3973ED55" w14:textId="6F532E99" w:rsidR="00901CFF" w:rsidRDefault="00901CFF" w:rsidP="00901CFF">
            <w:pPr>
              <w:spacing w:after="0"/>
              <w:rPr>
                <w:rFonts w:eastAsiaTheme="minorEastAsia"/>
              </w:rPr>
            </w:pPr>
            <w:r>
              <w:t>Response provided in previous Q.7) is also applicable here.</w:t>
            </w:r>
          </w:p>
        </w:tc>
      </w:tr>
      <w:tr w:rsidR="00D56910" w14:paraId="476372B1" w14:textId="77777777">
        <w:tc>
          <w:tcPr>
            <w:tcW w:w="1056" w:type="pct"/>
          </w:tcPr>
          <w:p w14:paraId="7B3E6816" w14:textId="359F3F46" w:rsidR="00D56910" w:rsidRDefault="00D56910" w:rsidP="00D56910">
            <w:pPr>
              <w:spacing w:after="0"/>
            </w:pPr>
            <w:r>
              <w:rPr>
                <w:rFonts w:hint="eastAsia"/>
                <w:lang w:eastAsia="zh-CN"/>
              </w:rPr>
              <w:t>N</w:t>
            </w:r>
            <w:r>
              <w:rPr>
                <w:lang w:eastAsia="zh-CN"/>
              </w:rPr>
              <w:t>EC</w:t>
            </w:r>
          </w:p>
        </w:tc>
        <w:tc>
          <w:tcPr>
            <w:tcW w:w="3944" w:type="pct"/>
          </w:tcPr>
          <w:p w14:paraId="242C025D" w14:textId="394B3FF7" w:rsidR="00D56910" w:rsidRDefault="00D56910" w:rsidP="00D56910">
            <w:pPr>
              <w:spacing w:after="0"/>
            </w:pPr>
            <w:r>
              <w:t>It is better that one</w:t>
            </w:r>
            <w:r w:rsidRPr="00A72AF3">
              <w:t xml:space="preserve"> </w:t>
            </w:r>
            <w:r>
              <w:t>unified UE behaviour</w:t>
            </w:r>
            <w:r w:rsidRPr="00A72AF3">
              <w:t xml:space="preserve"> </w:t>
            </w:r>
            <w:r>
              <w:t xml:space="preserve">is applied </w:t>
            </w:r>
            <w:r w:rsidRPr="00A72AF3">
              <w:t>for all stages of SDT procedure.</w:t>
            </w:r>
            <w:r>
              <w:t xml:space="preserve"> And from that perspective, the CCCH solution can met this requirement.</w:t>
            </w:r>
          </w:p>
        </w:tc>
      </w:tr>
    </w:tbl>
    <w:p w14:paraId="15B4B469" w14:textId="77777777" w:rsidR="00EA567C" w:rsidRDefault="00EA567C">
      <w:pPr>
        <w:jc w:val="both"/>
        <w:rPr>
          <w:rFonts w:ascii="Times New Roman" w:hAnsi="Times New Roman" w:cs="Times New Roman"/>
          <w:sz w:val="20"/>
          <w:szCs w:val="20"/>
        </w:rPr>
      </w:pPr>
    </w:p>
    <w:p w14:paraId="15B4B46A" w14:textId="77777777" w:rsidR="00EA567C" w:rsidRDefault="00786B2D">
      <w:pPr>
        <w:pStyle w:val="2"/>
      </w:pPr>
      <w:bookmarkStart w:id="61" w:name="_Ref74125826"/>
      <w:r>
        <w:t>CCCH-based approach</w:t>
      </w:r>
      <w:bookmarkEnd w:id="61"/>
    </w:p>
    <w:p w14:paraId="15B4B46B" w14:textId="77777777" w:rsidR="00EA567C" w:rsidRDefault="00786B2D">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This section aims to clarify how </w:t>
      </w:r>
      <w:r>
        <w:rPr>
          <w:rFonts w:ascii="Times New Roman" w:hAnsi="Times New Roman" w:cs="Times New Roman"/>
          <w:sz w:val="20"/>
          <w:szCs w:val="20"/>
        </w:rPr>
        <w:t xml:space="preserve">CCCH-based approach works to enable the switch from an ongoing SDT session to non-SDT operation considering the related inputs provided in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_Ref74088996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[9]</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_Ref74088986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_Ref74088974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[14]</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t xml:space="preserve">. Note that some of the topics are inter-related with the ones discussed as part of previous general sections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_Ref74135971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w:t>
      </w:r>
      <w:r>
        <w:rPr>
          <w:rFonts w:ascii="Times New Roman" w:hAnsi="Times New Roman" w:cs="Times New Roman"/>
          <w:sz w:val="20"/>
          <w:szCs w:val="20"/>
        </w:rPr>
        <w:fldChar w:fldCharType="end"/>
      </w:r>
      <w:r>
        <w:rPr>
          <w:rFonts w:ascii="Times New Roman" w:hAnsi="Times New Roman" w:cs="Times New Roman"/>
          <w:sz w:val="20"/>
          <w:szCs w:val="20"/>
        </w:rPr>
        <w:t xml:space="preserve"> and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_Ref74135977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3.1</w:t>
      </w:r>
      <w:r>
        <w:rPr>
          <w:rFonts w:ascii="Times New Roman" w:hAnsi="Times New Roman" w:cs="Times New Roman"/>
          <w:sz w:val="20"/>
          <w:szCs w:val="20"/>
        </w:rPr>
        <w:fldChar w:fldCharType="end"/>
      </w:r>
      <w:r>
        <w:rPr>
          <w:rFonts w:ascii="Times New Roman" w:hAnsi="Times New Roman" w:cs="Times New Roman"/>
          <w:sz w:val="20"/>
          <w:szCs w:val="20"/>
        </w:rPr>
        <w:t>.</w:t>
      </w:r>
    </w:p>
    <w:p w14:paraId="15B4B46C" w14:textId="77777777" w:rsidR="00EA567C" w:rsidRDefault="00786B2D">
      <w:pPr>
        <w:pStyle w:val="3"/>
      </w:pPr>
      <w:r>
        <w:t>[CCCH point (1)] Detection of non-SDT data</w:t>
      </w:r>
    </w:p>
    <w:p w14:paraId="15B4B46D" w14:textId="77777777" w:rsidR="00EA567C" w:rsidRDefault="00786B2D">
      <w:pPr>
        <w:rPr>
          <w:rFonts w:ascii="Times New Roman" w:hAnsi="Times New Roman" w:cs="Times New Roman"/>
          <w:sz w:val="20"/>
          <w:szCs w:val="20"/>
        </w:rPr>
      </w:pPr>
      <w:r>
        <w:rPr>
          <w:rFonts w:ascii="Times New Roman" w:hAnsi="Times New Roman" w:cs="Times New Roman"/>
          <w:sz w:val="20"/>
          <w:szCs w:val="20"/>
          <w:lang w:eastAsia="x-none"/>
        </w:rPr>
        <w:t>Upon UE detects non-SDT data available during an ongoing SDT session, this section discusses initial UE’s actions associated with CCCH-based approach.</w:t>
      </w:r>
    </w:p>
    <w:p w14:paraId="15B4B46E" w14:textId="77777777" w:rsidR="00EA567C" w:rsidRDefault="00786B2D">
      <w:pPr>
        <w:pStyle w:val="4"/>
        <w:rPr>
          <w:lang w:val="en-GB"/>
        </w:rPr>
      </w:pPr>
      <w:r>
        <w:rPr>
          <w:lang w:val="en-US"/>
        </w:rPr>
        <w:t>[CCCH point (</w:t>
      </w:r>
      <w:r>
        <w:t>1.1)</w:t>
      </w:r>
      <w:r>
        <w:rPr>
          <w:lang w:val="en-US"/>
        </w:rPr>
        <w:t>]</w:t>
      </w:r>
      <w:r>
        <w:t xml:space="preserve"> </w:t>
      </w:r>
      <w:r>
        <w:rPr>
          <w:lang w:val="en-GB"/>
        </w:rPr>
        <w:t>UE autonomous release</w:t>
      </w:r>
    </w:p>
    <w:p w14:paraId="15B4B46F" w14:textId="77777777" w:rsidR="00EA567C" w:rsidRDefault="00786B2D">
      <w:pPr>
        <w:rPr>
          <w:rFonts w:ascii="Times New Roman" w:hAnsi="Times New Roman"/>
          <w:sz w:val="20"/>
          <w:szCs w:val="20"/>
        </w:rPr>
      </w:pPr>
      <w:r>
        <w:rPr>
          <w:rFonts w:ascii="Times New Roman" w:hAnsi="Times New Roman" w:cs="Times New Roman"/>
          <w:sz w:val="20"/>
          <w:szCs w:val="20"/>
          <w:lang w:eastAsia="x-none"/>
        </w:rPr>
        <w:t xml:space="preserve">For CCCH-based approach, It is clarified in </w:t>
      </w:r>
      <w:r>
        <w:rPr>
          <w:rFonts w:ascii="Times New Roman" w:hAnsi="Times New Roman" w:cs="Times New Roman"/>
          <w:sz w:val="20"/>
          <w:szCs w:val="20"/>
        </w:rPr>
        <w:fldChar w:fldCharType="begin"/>
      </w:r>
      <w:r>
        <w:rPr>
          <w:rFonts w:ascii="Times New Roman" w:hAnsi="Times New Roman" w:cs="Times New Roman"/>
          <w:sz w:val="18"/>
          <w:szCs w:val="18"/>
        </w:rPr>
        <w:instrText xml:space="preserve"> REF _Ref74088716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18"/>
          <w:szCs w:val="18"/>
        </w:rPr>
        <w:t>[5]</w:t>
      </w:r>
      <w:r>
        <w:rPr>
          <w:rFonts w:ascii="Times New Roman" w:hAnsi="Times New Roman" w:cs="Times New Roman"/>
          <w:sz w:val="20"/>
          <w:szCs w:val="20"/>
        </w:rPr>
        <w:fldChar w:fldCharType="end"/>
      </w:r>
      <w:r>
        <w:rPr>
          <w:rFonts w:ascii="Times New Roman" w:hAnsi="Times New Roman" w:cs="Times New Roman"/>
          <w:sz w:val="20"/>
          <w:szCs w:val="20"/>
        </w:rPr>
        <w:t xml:space="preserve"> t</w:t>
      </w:r>
      <w:r>
        <w:rPr>
          <w:rFonts w:ascii="Times New Roman" w:hAnsi="Times New Roman" w:cs="Times New Roman"/>
          <w:sz w:val="18"/>
          <w:szCs w:val="18"/>
        </w:rPr>
        <w:t xml:space="preserve">hat UE </w:t>
      </w:r>
      <w:r>
        <w:rPr>
          <w:rFonts w:ascii="Times New Roman" w:hAnsi="Times New Roman" w:cs="Times New Roman"/>
          <w:sz w:val="20"/>
          <w:szCs w:val="20"/>
          <w:lang w:eastAsia="zh-CN"/>
        </w:rPr>
        <w:t>autonomously triggers the end or the release of the ongoing SDT session upon detecting the non-SDT data.</w:t>
      </w:r>
    </w:p>
    <w:p w14:paraId="15B4B470" w14:textId="77777777" w:rsidR="00EA567C" w:rsidRDefault="00786B2D">
      <w:pPr>
        <w:pStyle w:val="observ"/>
        <w:ind w:left="360"/>
      </w:pPr>
      <w:bookmarkStart w:id="62" w:name="_Ref74138568"/>
      <w:r>
        <w:lastRenderedPageBreak/>
        <w:t>For CCCH-based approach, UE autonomously triggers the end or the release of ongoing SDT session upon detecting the non-SDT data.</w:t>
      </w:r>
      <w:bookmarkEnd w:id="62"/>
    </w:p>
    <w:p w14:paraId="15B4B471"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The following details and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_Ref75003527 \r \h  \* MERGEFORMAT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Q.10)</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are created based on the responses provided during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15B4B472" w14:textId="77777777" w:rsidR="00EA567C" w:rsidRDefault="00786B2D">
      <w:pPr>
        <w:rPr>
          <w:rFonts w:ascii="Times New Roman" w:hAnsi="Times New Roman" w:cs="Times New Roman"/>
          <w:color w:val="0000CC"/>
          <w:sz w:val="20"/>
          <w:szCs w:val="20"/>
        </w:rPr>
      </w:pPr>
      <w:r>
        <w:rPr>
          <w:rFonts w:ascii="Times New Roman" w:hAnsi="Times New Roman" w:cs="Times New Roman"/>
          <w:color w:val="0000CC"/>
          <w:sz w:val="20"/>
          <w:szCs w:val="20"/>
        </w:rPr>
        <w:t xml:space="preserve">During current release procedure to suspend, the UE performs PDCP suspend operation and discard all buffered PDCP PDUs as it is also discussed in next section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_Ref74945129 \r \h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3.2.4</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For CCCH-based approach, it needs to be clarified whether this operation is maintained or not when UE autonomously ends the ongoing SDT session and initiates the new CCCH message. </w:t>
      </w:r>
    </w:p>
    <w:p w14:paraId="15B4B473" w14:textId="77777777" w:rsidR="00EA567C" w:rsidRDefault="00786B2D">
      <w:pPr>
        <w:pStyle w:val="a9"/>
        <w:numPr>
          <w:ilvl w:val="0"/>
          <w:numId w:val="33"/>
        </w:numPr>
        <w:spacing w:after="60"/>
        <w:contextualSpacing w:val="0"/>
        <w:rPr>
          <w:color w:val="0000CC"/>
        </w:rPr>
      </w:pPr>
      <w:r>
        <w:rPr>
          <w:color w:val="0000CC"/>
        </w:rPr>
        <w:t xml:space="preserve">Legacy behaviour - PDCP is suspended, and PDUs flushed.  If PDCP suspend operation is done upon UE autonomously triggers the end or the release of ongoing SDT session, UE/network may not be able to detect data duplication and prevent data loss. This is also explained by </w:t>
      </w:r>
      <w:r>
        <w:rPr>
          <w:color w:val="0000CC"/>
        </w:rPr>
        <w:fldChar w:fldCharType="begin"/>
      </w:r>
      <w:r>
        <w:rPr>
          <w:color w:val="0000CC"/>
        </w:rPr>
        <w:instrText xml:space="preserve"> REF _Ref74945454 \r \h  \* MERGEFORMAT </w:instrText>
      </w:r>
      <w:r>
        <w:rPr>
          <w:color w:val="0000CC"/>
        </w:rPr>
      </w:r>
      <w:r>
        <w:rPr>
          <w:color w:val="0000CC"/>
        </w:rPr>
        <w:fldChar w:fldCharType="separate"/>
      </w:r>
      <w:r>
        <w:rPr>
          <w:color w:val="0000CC"/>
        </w:rPr>
        <w:t>Observation 6</w:t>
      </w:r>
      <w:r>
        <w:rPr>
          <w:color w:val="0000CC"/>
        </w:rPr>
        <w:fldChar w:fldCharType="end"/>
      </w:r>
      <w:r>
        <w:rPr>
          <w:color w:val="0000CC"/>
        </w:rPr>
        <w:t xml:space="preserve"> in next section </w:t>
      </w:r>
      <w:r>
        <w:rPr>
          <w:color w:val="0000CC"/>
        </w:rPr>
        <w:fldChar w:fldCharType="begin"/>
      </w:r>
      <w:r>
        <w:rPr>
          <w:color w:val="0000CC"/>
        </w:rPr>
        <w:instrText xml:space="preserve"> REF _Ref74945129 \r \h  \* MERGEFORMAT </w:instrText>
      </w:r>
      <w:r>
        <w:rPr>
          <w:color w:val="0000CC"/>
        </w:rPr>
      </w:r>
      <w:r>
        <w:rPr>
          <w:color w:val="0000CC"/>
        </w:rPr>
        <w:fldChar w:fldCharType="separate"/>
      </w:r>
      <w:r>
        <w:rPr>
          <w:color w:val="0000CC"/>
        </w:rPr>
        <w:t>3.2.4</w:t>
      </w:r>
      <w:r>
        <w:rPr>
          <w:color w:val="0000CC"/>
        </w:rPr>
        <w:fldChar w:fldCharType="end"/>
      </w:r>
      <w:r>
        <w:rPr>
          <w:color w:val="0000CC"/>
        </w:rPr>
        <w:t xml:space="preserve">. This is also related to the discussion in next section </w:t>
      </w:r>
      <w:r>
        <w:rPr>
          <w:color w:val="0000CC"/>
        </w:rPr>
        <w:fldChar w:fldCharType="begin"/>
      </w:r>
      <w:r>
        <w:rPr>
          <w:color w:val="0000CC"/>
        </w:rPr>
        <w:instrText xml:space="preserve"> REF _Ref74945129 \r \h  \* MERGEFORMAT </w:instrText>
      </w:r>
      <w:r>
        <w:rPr>
          <w:color w:val="0000CC"/>
        </w:rPr>
      </w:r>
      <w:r>
        <w:rPr>
          <w:color w:val="0000CC"/>
        </w:rPr>
        <w:fldChar w:fldCharType="separate"/>
      </w:r>
      <w:r>
        <w:rPr>
          <w:color w:val="0000CC"/>
        </w:rPr>
        <w:t>3.2.4</w:t>
      </w:r>
      <w:r>
        <w:rPr>
          <w:color w:val="0000CC"/>
        </w:rPr>
        <w:fldChar w:fldCharType="end"/>
      </w:r>
      <w:r>
        <w:rPr>
          <w:color w:val="0000CC"/>
        </w:rPr>
        <w:t>.</w:t>
      </w:r>
      <w:r>
        <w:rPr>
          <w:rStyle w:val="ad"/>
        </w:rPr>
        <w:t xml:space="preserve"> </w:t>
      </w:r>
    </w:p>
    <w:p w14:paraId="15B4B474" w14:textId="77777777" w:rsidR="00EA567C" w:rsidRDefault="00786B2D">
      <w:pPr>
        <w:pStyle w:val="a9"/>
        <w:numPr>
          <w:ilvl w:val="0"/>
          <w:numId w:val="33"/>
        </w:numPr>
        <w:spacing w:after="120"/>
        <w:contextualSpacing w:val="0"/>
        <w:rPr>
          <w:ins w:id="63" w:author="Huawei" w:date="2021-06-24T15:16:00Z"/>
          <w:color w:val="0000CC"/>
        </w:rPr>
      </w:pPr>
      <w:r>
        <w:rPr>
          <w:color w:val="0000CC"/>
        </w:rPr>
        <w:t>New behaviour - PDCP suspend operation is not done or changed upon UE autonomously triggers the end or the release of ongoing SDT session.  PDCP SN is not reset and PDUs are not flushed.  If so, it needs to be clarified if network needs to distinguish between the 1</w:t>
      </w:r>
      <w:r>
        <w:rPr>
          <w:color w:val="0000CC"/>
          <w:vertAlign w:val="superscript"/>
        </w:rPr>
        <w:t>st</w:t>
      </w:r>
      <w:r>
        <w:rPr>
          <w:color w:val="0000CC"/>
        </w:rPr>
        <w:t xml:space="preserve"> and 2</w:t>
      </w:r>
      <w:r>
        <w:rPr>
          <w:color w:val="0000CC"/>
          <w:vertAlign w:val="superscript"/>
        </w:rPr>
        <w:t>nd</w:t>
      </w:r>
      <w:r>
        <w:rPr>
          <w:color w:val="0000CC"/>
        </w:rPr>
        <w:t xml:space="preserve"> </w:t>
      </w:r>
      <w:r>
        <w:rPr>
          <w:i/>
          <w:iCs/>
          <w:color w:val="0000CC"/>
        </w:rPr>
        <w:t>RRCResumeRequest</w:t>
      </w:r>
      <w:r>
        <w:rPr>
          <w:color w:val="0000CC"/>
        </w:rPr>
        <w:t xml:space="preserve"> msg. and the corresponding different actions would need to be addressed. This is related to </w:t>
      </w:r>
      <w:r>
        <w:rPr>
          <w:color w:val="0000CC"/>
        </w:rPr>
        <w:fldChar w:fldCharType="begin"/>
      </w:r>
      <w:r>
        <w:rPr>
          <w:color w:val="0000CC"/>
        </w:rPr>
        <w:instrText xml:space="preserve"> REF _Ref74258597 \r \h </w:instrText>
      </w:r>
      <w:r>
        <w:rPr>
          <w:color w:val="0000CC"/>
        </w:rPr>
      </w:r>
      <w:r>
        <w:rPr>
          <w:color w:val="0000CC"/>
        </w:rPr>
        <w:fldChar w:fldCharType="separate"/>
      </w:r>
      <w:r>
        <w:rPr>
          <w:color w:val="0000CC"/>
        </w:rPr>
        <w:t>Discussion point 3)</w:t>
      </w:r>
      <w:r>
        <w:rPr>
          <w:color w:val="0000CC"/>
        </w:rPr>
        <w:fldChar w:fldCharType="end"/>
      </w:r>
      <w:r>
        <w:rPr>
          <w:color w:val="0000CC"/>
        </w:rPr>
        <w:t xml:space="preserve"> in next section </w:t>
      </w:r>
      <w:r>
        <w:rPr>
          <w:color w:val="0000CC"/>
        </w:rPr>
        <w:fldChar w:fldCharType="begin"/>
      </w:r>
      <w:r>
        <w:rPr>
          <w:color w:val="0000CC"/>
        </w:rPr>
        <w:instrText xml:space="preserve"> REF _Ref74945710 \r \h </w:instrText>
      </w:r>
      <w:r>
        <w:rPr>
          <w:color w:val="0000CC"/>
        </w:rPr>
      </w:r>
      <w:r>
        <w:rPr>
          <w:color w:val="0000CC"/>
        </w:rPr>
        <w:fldChar w:fldCharType="separate"/>
      </w:r>
      <w:r>
        <w:rPr>
          <w:color w:val="0000CC"/>
        </w:rPr>
        <w:t>3.2.3</w:t>
      </w:r>
      <w:r>
        <w:rPr>
          <w:color w:val="0000CC"/>
        </w:rPr>
        <w:fldChar w:fldCharType="end"/>
      </w:r>
      <w:r>
        <w:rPr>
          <w:color w:val="0000CC"/>
        </w:rPr>
        <w:t>.</w:t>
      </w:r>
    </w:p>
    <w:p w14:paraId="15B4B475" w14:textId="766308B6" w:rsidR="00EA567C" w:rsidRDefault="00786B2D">
      <w:pPr>
        <w:pStyle w:val="a9"/>
        <w:numPr>
          <w:ilvl w:val="0"/>
          <w:numId w:val="33"/>
        </w:numPr>
        <w:spacing w:after="120"/>
        <w:contextualSpacing w:val="0"/>
        <w:rPr>
          <w:ins w:id="64" w:author="Intel" w:date="2021-07-20T22:07:00Z"/>
          <w:color w:val="0000CC"/>
        </w:rPr>
      </w:pPr>
      <w:ins w:id="65" w:author="Huawei" w:date="2021-06-24T15:17:00Z">
        <w:r>
          <w:rPr>
            <w:color w:val="0000CC"/>
          </w:rPr>
          <w:t>Legacy behaviour with h</w:t>
        </w:r>
      </w:ins>
      <w:ins w:id="66" w:author="Huawei" w:date="2021-06-24T15:16:00Z">
        <w:r>
          <w:rPr>
            <w:color w:val="0000CC"/>
          </w:rPr>
          <w:t xml:space="preserve">orizontal key derivation </w:t>
        </w:r>
      </w:ins>
      <w:ins w:id="67" w:author="ZTE(EV)" w:date="2021-07-12T14:04:00Z">
        <w:r>
          <w:rPr>
            <w:color w:val="0000CC"/>
          </w:rPr>
          <w:t xml:space="preserve">using the key derived after the first RRCResume </w:t>
        </w:r>
      </w:ins>
      <w:ins w:id="68" w:author="ZTE(EV)" w:date="2021-07-12T14:05:00Z">
        <w:r>
          <w:rPr>
            <w:color w:val="0000CC"/>
          </w:rPr>
          <w:t xml:space="preserve">as the base key </w:t>
        </w:r>
      </w:ins>
      <w:ins w:id="69" w:author="Huawei" w:date="2021-06-24T15:17:00Z">
        <w:r>
          <w:rPr>
            <w:color w:val="0000CC"/>
          </w:rPr>
          <w:t>- PDCP is suspended and PDUs flushed</w:t>
        </w:r>
      </w:ins>
      <w:ins w:id="70" w:author="Huawei" w:date="2021-06-24T15:18:00Z">
        <w:r>
          <w:rPr>
            <w:color w:val="0000CC"/>
          </w:rPr>
          <w:t xml:space="preserve">, the UE and RAN derive new KgNB* horizontally, which is used for new UP and CP keys calculation. </w:t>
        </w:r>
      </w:ins>
      <w:commentRangeStart w:id="71"/>
      <w:ins w:id="72" w:author="Huawei" w:date="2021-06-24T15:19:00Z">
        <w:r>
          <w:rPr>
            <w:color w:val="0000CC"/>
          </w:rPr>
          <w:t>This way issue mentioned in section 3.2.4 is avoided</w:t>
        </w:r>
      </w:ins>
      <w:commentRangeEnd w:id="71"/>
      <w:r>
        <w:rPr>
          <w:rStyle w:val="ad"/>
        </w:rPr>
        <w:commentReference w:id="71"/>
      </w:r>
      <w:ins w:id="73" w:author="Huawei" w:date="2021-06-24T15:19:00Z">
        <w:r>
          <w:rPr>
            <w:color w:val="0000CC"/>
          </w:rPr>
          <w:t>.</w:t>
        </w:r>
      </w:ins>
      <w:ins w:id="74" w:author="ZTE(EV)" w:date="2021-07-12T14:05:00Z">
        <w:r>
          <w:rPr>
            <w:color w:val="0000CC"/>
          </w:rPr>
          <w:t xml:space="preserve"> </w:t>
        </w:r>
      </w:ins>
      <w:ins w:id="75" w:author="Huawei" w:date="2021-06-24T15:16:00Z">
        <w:del w:id="76" w:author="ZTE(EV)" w:date="2021-07-12T14:05:00Z">
          <w:r>
            <w:rPr>
              <w:color w:val="0000CC"/>
            </w:rPr>
            <w:delText xml:space="preserve"> </w:delText>
          </w:r>
        </w:del>
      </w:ins>
    </w:p>
    <w:p w14:paraId="750C318D" w14:textId="77777777" w:rsidR="00EA7D9B" w:rsidRDefault="00EA7D9B" w:rsidP="00EA7D9B">
      <w:pPr>
        <w:pStyle w:val="a9"/>
        <w:spacing w:after="120"/>
        <w:rPr>
          <w:ins w:id="77" w:author="Intel" w:date="2021-07-20T22:07:00Z"/>
          <w:color w:val="0000CC"/>
          <w:lang w:val="en-US"/>
        </w:rPr>
      </w:pPr>
      <w:ins w:id="78" w:author="Intel" w:date="2021-07-20T22:07:00Z">
        <w:r>
          <w:rPr>
            <w:b/>
            <w:bCs/>
            <w:color w:val="FF0000"/>
          </w:rPr>
          <w:t>[</w:t>
        </w:r>
        <w:r>
          <w:rPr>
            <w:b/>
            <w:bCs/>
            <w:color w:val="FF0000"/>
            <w:highlight w:val="yellow"/>
          </w:rPr>
          <w:t>07/20</w:t>
        </w:r>
        <w:r>
          <w:rPr>
            <w:b/>
            <w:bCs/>
            <w:color w:val="FF0000"/>
          </w:rPr>
          <w:t>] [Rapporteur’s input]</w:t>
        </w:r>
        <w:r>
          <w:rPr>
            <w:color w:val="FF0000"/>
          </w:rPr>
          <w:t xml:space="preserve"> This new option 1.c) added by Huawei is covered by option 1.a) that assume legacy behaviour of the PDCP handling i.e. “</w:t>
        </w:r>
        <w:r>
          <w:rPr>
            <w:color w:val="0000CC"/>
          </w:rPr>
          <w:t>PDCP is suspended, and PDUs flushed</w:t>
        </w:r>
        <w:r>
          <w:rPr>
            <w:color w:val="FF0000"/>
          </w:rPr>
          <w:t>”. The security mechanism to be used (e.g. horizontal key derivation) is discussed in next Q.14. Therefore, companies are suggested to provide their corresponding view on it as part of next Q.14).</w:t>
        </w:r>
      </w:ins>
    </w:p>
    <w:p w14:paraId="50522421" w14:textId="77777777" w:rsidR="00BB6D64" w:rsidRPr="00EA7D9B" w:rsidRDefault="00BB6D64" w:rsidP="00EA7D9B">
      <w:pPr>
        <w:pStyle w:val="a9"/>
        <w:spacing w:after="120"/>
        <w:contextualSpacing w:val="0"/>
        <w:rPr>
          <w:color w:val="0000CC"/>
          <w:lang w:val="en-US"/>
        </w:rPr>
      </w:pPr>
    </w:p>
    <w:p w14:paraId="15B4B476" w14:textId="77777777" w:rsidR="00EA567C" w:rsidRDefault="00EA567C">
      <w:pPr>
        <w:pStyle w:val="a9"/>
        <w:numPr>
          <w:ilvl w:val="1"/>
          <w:numId w:val="8"/>
        </w:numPr>
        <w:spacing w:after="120"/>
        <w:rPr>
          <w:del w:id="79" w:author="ZTE(EV)" w:date="2021-07-12T14:08:00Z"/>
          <w:color w:val="0000CC"/>
        </w:rPr>
      </w:pPr>
    </w:p>
    <w:bookmarkStart w:id="80" w:name="_Hlk75224939"/>
    <w:p w14:paraId="15B4B477" w14:textId="77777777" w:rsidR="00EA567C" w:rsidRDefault="00786B2D">
      <w:pPr>
        <w:pStyle w:val="5"/>
        <w:rPr>
          <w:b/>
          <w:color w:val="0000CC"/>
        </w:rPr>
      </w:pPr>
      <w:r>
        <w:rPr>
          <w:b/>
          <w:bCs/>
          <w:color w:val="0000CC"/>
        </w:rPr>
        <w:fldChar w:fldCharType="begin"/>
      </w:r>
      <w:r>
        <w:rPr>
          <w:b/>
          <w:color w:val="0000CC"/>
        </w:rPr>
        <w:instrText xml:space="preserve"> REF _Ref75003527 \r \h  \* MERGEFORMAT </w:instrText>
      </w:r>
      <w:r>
        <w:rPr>
          <w:b/>
          <w:bCs/>
          <w:color w:val="0000CC"/>
        </w:rPr>
      </w:r>
      <w:r>
        <w:rPr>
          <w:b/>
          <w:color w:val="0000CC"/>
        </w:rPr>
        <w:fldChar w:fldCharType="separate"/>
      </w:r>
      <w:r>
        <w:rPr>
          <w:b/>
          <w:color w:val="0000CC"/>
        </w:rPr>
        <w:t>Q.10)</w:t>
      </w:r>
      <w:r>
        <w:rPr>
          <w:b/>
          <w:color w:val="0000CC"/>
        </w:rPr>
        <w:fldChar w:fldCharType="end"/>
      </w:r>
      <w:bookmarkEnd w:id="80"/>
      <w:r>
        <w:rPr>
          <w:b/>
          <w:bCs/>
          <w:color w:val="0000CC"/>
        </w:rPr>
        <w:t xml:space="preserve"> for 2</w:t>
      </w:r>
      <w:r>
        <w:rPr>
          <w:b/>
          <w:color w:val="0000CC"/>
          <w:vertAlign w:val="superscript"/>
        </w:rPr>
        <w:t>nd</w:t>
      </w:r>
      <w:r>
        <w:rPr>
          <w:b/>
          <w:color w:val="0000CC"/>
        </w:rPr>
        <w:t xml:space="preserve"> Phase</w:t>
      </w:r>
    </w:p>
    <w:p w14:paraId="15B4B478" w14:textId="77777777" w:rsidR="00EA567C" w:rsidRDefault="00786B2D">
      <w:pPr>
        <w:pStyle w:val="a9"/>
        <w:numPr>
          <w:ilvl w:val="0"/>
          <w:numId w:val="30"/>
        </w:numPr>
        <w:overflowPunct/>
        <w:autoSpaceDE/>
        <w:autoSpaceDN/>
        <w:adjustRightInd/>
        <w:spacing w:after="120" w:line="259" w:lineRule="auto"/>
        <w:contextualSpacing w:val="0"/>
        <w:jc w:val="both"/>
        <w:rPr>
          <w:color w:val="0000CC"/>
        </w:rPr>
      </w:pPr>
      <w:bookmarkStart w:id="81" w:name="_Ref75003527"/>
      <w:r>
        <w:rPr>
          <w:color w:val="0000CC"/>
        </w:rPr>
        <w:t>For CCCH-based approach, upon UE autonomously triggers the end or the release of ongoing SDT session, what is the expected “PDCP suspend operation” considering previous options 1.x or new ones? please justify your response and provide further details on the corresponding open points</w:t>
      </w:r>
      <w:bookmarkEnd w:id="81"/>
      <w:r>
        <w:rPr>
          <w:rStyle w:val="ad"/>
        </w:rPr>
        <w:t>.</w:t>
      </w:r>
    </w:p>
    <w:tbl>
      <w:tblPr>
        <w:tblStyle w:val="ab"/>
        <w:tblW w:w="0" w:type="auto"/>
        <w:tblLook w:val="04A0" w:firstRow="1" w:lastRow="0" w:firstColumn="1" w:lastColumn="0" w:noHBand="0" w:noVBand="1"/>
      </w:tblPr>
      <w:tblGrid>
        <w:gridCol w:w="1975"/>
        <w:gridCol w:w="1170"/>
        <w:gridCol w:w="6205"/>
      </w:tblGrid>
      <w:tr w:rsidR="00EA567C" w14:paraId="15B4B47C" w14:textId="77777777">
        <w:tc>
          <w:tcPr>
            <w:tcW w:w="1975" w:type="dxa"/>
            <w:shd w:val="clear" w:color="auto" w:fill="BFBFBF" w:themeFill="background1" w:themeFillShade="BF"/>
          </w:tcPr>
          <w:p w14:paraId="15B4B479"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47A" w14:textId="77777777" w:rsidR="00EA567C" w:rsidRDefault="00786B2D">
            <w:pPr>
              <w:spacing w:after="0"/>
              <w:jc w:val="center"/>
              <w:rPr>
                <w:b/>
                <w:bCs/>
              </w:rPr>
            </w:pPr>
            <w:r>
              <w:rPr>
                <w:b/>
                <w:bCs/>
              </w:rPr>
              <w:t>Option</w:t>
            </w:r>
          </w:p>
        </w:tc>
        <w:tc>
          <w:tcPr>
            <w:tcW w:w="6205" w:type="dxa"/>
            <w:shd w:val="clear" w:color="auto" w:fill="BFBFBF" w:themeFill="background1" w:themeFillShade="BF"/>
          </w:tcPr>
          <w:p w14:paraId="15B4B47B" w14:textId="77777777" w:rsidR="00EA567C" w:rsidRDefault="00786B2D">
            <w:pPr>
              <w:spacing w:after="0"/>
              <w:jc w:val="center"/>
              <w:rPr>
                <w:b/>
                <w:bCs/>
              </w:rPr>
            </w:pPr>
            <w:r>
              <w:rPr>
                <w:b/>
                <w:bCs/>
              </w:rPr>
              <w:t>Justification</w:t>
            </w:r>
          </w:p>
        </w:tc>
      </w:tr>
      <w:tr w:rsidR="00EA567C" w14:paraId="15B4B480" w14:textId="77777777">
        <w:tc>
          <w:tcPr>
            <w:tcW w:w="1975" w:type="dxa"/>
          </w:tcPr>
          <w:p w14:paraId="15B4B47D" w14:textId="77777777" w:rsidR="00EA567C" w:rsidRDefault="00786B2D">
            <w:pPr>
              <w:spacing w:after="0"/>
            </w:pPr>
            <w:r>
              <w:t>Huawei, HiSilicon</w:t>
            </w:r>
          </w:p>
        </w:tc>
        <w:tc>
          <w:tcPr>
            <w:tcW w:w="1170" w:type="dxa"/>
          </w:tcPr>
          <w:p w14:paraId="15B4B47E" w14:textId="77777777" w:rsidR="00EA567C" w:rsidRDefault="00786B2D">
            <w:pPr>
              <w:spacing w:after="0"/>
            </w:pPr>
            <w:r>
              <w:t>Option 1.c)</w:t>
            </w:r>
          </w:p>
        </w:tc>
        <w:tc>
          <w:tcPr>
            <w:tcW w:w="6205" w:type="dxa"/>
          </w:tcPr>
          <w:p w14:paraId="15B4B47F" w14:textId="77777777" w:rsidR="00EA567C" w:rsidRDefault="00786B2D">
            <w:pPr>
              <w:spacing w:after="0"/>
            </w:pPr>
            <w:r>
              <w:t>Option 1c) allows to reuse legacy behaviour when it comes to PDCP entities handling, but avoids the issue of reusing the COUNT value with the same security key by calculating new security keys horizontally. As mentioned in our answer to Q.1), since only PDCP PDUs are discarded and the PDCP SDUs are not discarded during this procedure, there is no data loss (same applies to option 1.a))</w:t>
            </w:r>
          </w:p>
        </w:tc>
      </w:tr>
      <w:tr w:rsidR="00EA567C" w14:paraId="15B4B49C" w14:textId="77777777">
        <w:trPr>
          <w:trHeight w:val="43"/>
        </w:trPr>
        <w:tc>
          <w:tcPr>
            <w:tcW w:w="1975" w:type="dxa"/>
          </w:tcPr>
          <w:p w14:paraId="15B4B481" w14:textId="77777777" w:rsidR="00EA567C" w:rsidRDefault="00786B2D">
            <w:pPr>
              <w:spacing w:after="0"/>
            </w:pPr>
            <w:r>
              <w:t>ZTE</w:t>
            </w:r>
          </w:p>
        </w:tc>
        <w:tc>
          <w:tcPr>
            <w:tcW w:w="1170" w:type="dxa"/>
          </w:tcPr>
          <w:p w14:paraId="15B4B482" w14:textId="77777777" w:rsidR="00EA567C" w:rsidRDefault="00786B2D">
            <w:pPr>
              <w:spacing w:after="0"/>
            </w:pPr>
            <w:r>
              <w:t>Option 1.b)</w:t>
            </w:r>
          </w:p>
        </w:tc>
        <w:tc>
          <w:tcPr>
            <w:tcW w:w="6205" w:type="dxa"/>
          </w:tcPr>
          <w:p w14:paraId="15B4B483" w14:textId="77777777" w:rsidR="00EA567C" w:rsidRDefault="00786B2D">
            <w:pPr>
              <w:spacing w:after="0"/>
            </w:pPr>
            <w:r>
              <w:t xml:space="preserve">It should be noted that UE will derive a new KgNB after triggering RRCResume procedure. So, firstly, we should have a common understanding on which key is used as base key for the key derivation for second RRCResume procedure: </w:t>
            </w:r>
          </w:p>
          <w:p w14:paraId="15B4B484" w14:textId="77777777" w:rsidR="00EA567C" w:rsidRDefault="00786B2D">
            <w:pPr>
              <w:pStyle w:val="a9"/>
              <w:numPr>
                <w:ilvl w:val="0"/>
                <w:numId w:val="8"/>
              </w:numPr>
              <w:spacing w:after="0"/>
            </w:pPr>
            <w:r>
              <w:t>Is it the key in the UE INACTIVE AS context (this is how it works currently if we assume second RRCResume works exactly same as the first RRCResume) or</w:t>
            </w:r>
          </w:p>
          <w:p w14:paraId="15B4B485" w14:textId="77777777" w:rsidR="00EA567C" w:rsidRDefault="00786B2D">
            <w:pPr>
              <w:pStyle w:val="a9"/>
              <w:numPr>
                <w:ilvl w:val="0"/>
                <w:numId w:val="8"/>
              </w:numPr>
              <w:spacing w:after="0"/>
            </w:pPr>
            <w:r>
              <w:t>Is it the key derived after first RRCResume procedure?</w:t>
            </w:r>
          </w:p>
          <w:p w14:paraId="15B4B486" w14:textId="77777777" w:rsidR="00EA567C" w:rsidRDefault="00786B2D">
            <w:pPr>
              <w:spacing w:after="0"/>
            </w:pPr>
            <w:r>
              <w:t xml:space="preserve">The figure below shows these options… </w:t>
            </w:r>
          </w:p>
          <w:p w14:paraId="15B4B487" w14:textId="77777777" w:rsidR="00EA567C" w:rsidRDefault="00EA567C">
            <w:pPr>
              <w:spacing w:after="0"/>
            </w:pPr>
          </w:p>
          <w:p w14:paraId="15B4B488" w14:textId="77777777" w:rsidR="00EA567C" w:rsidRDefault="00786B2D">
            <w:pPr>
              <w:spacing w:after="0"/>
            </w:pPr>
            <w:r>
              <w:rPr>
                <w:noProof/>
                <w:lang w:val="en-US" w:eastAsia="zh-CN"/>
              </w:rPr>
              <w:lastRenderedPageBreak/>
              <w:drawing>
                <wp:inline distT="0" distB="0" distL="0" distR="0" wp14:anchorId="15B4B82F" wp14:editId="15B4B830">
                  <wp:extent cx="3525926" cy="407739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45934" cy="4100531"/>
                          </a:xfrm>
                          <a:prstGeom prst="rect">
                            <a:avLst/>
                          </a:prstGeom>
                          <a:noFill/>
                          <a:ln>
                            <a:noFill/>
                          </a:ln>
                        </pic:spPr>
                      </pic:pic>
                    </a:graphicData>
                  </a:graphic>
                </wp:inline>
              </w:drawing>
            </w:r>
          </w:p>
          <w:p w14:paraId="15B4B489" w14:textId="77777777" w:rsidR="00EA567C" w:rsidRDefault="00EA567C">
            <w:pPr>
              <w:spacing w:after="0"/>
            </w:pPr>
          </w:p>
          <w:p w14:paraId="15B4B48A" w14:textId="77777777" w:rsidR="00EA567C" w:rsidRDefault="00786B2D">
            <w:pPr>
              <w:spacing w:after="0"/>
            </w:pPr>
            <w:r>
              <w:t>It should be noted that the current RRCResumeProcedure is according to option 1 (</w:t>
            </w:r>
            <w:r>
              <w:rPr>
                <w:u w:val="single"/>
              </w:rPr>
              <w:t>since it uses the stored UE Inactive AS context to derive the new KgNB to be used</w:t>
            </w:r>
            <w:r>
              <w:t>). However, as pointed out, the problem is that if we stick with the current RRCResume procedure (i.e. option 1), then the key will not change after the second RRCResumeProcedure (i.e. KgNB2 is generated again since the input key has not changed and all other inputs to KDF are also the same). Hence, since the COUNT is reset, then we do need a new mechanism to derive the key after the second RRCResume procedure (i.e. the base key now is not anymore the key stored in the UE INACTIVE AS Context). Now, this is in option 2 above. This is also what is mentioned above as option 1.c in our understanding. It is worth being clear on this procedure to avoid any mis-understanding here:</w:t>
            </w:r>
          </w:p>
          <w:p w14:paraId="15B4B48B" w14:textId="77777777" w:rsidR="00EA567C" w:rsidRDefault="00786B2D">
            <w:pPr>
              <w:pStyle w:val="a9"/>
              <w:numPr>
                <w:ilvl w:val="0"/>
                <w:numId w:val="52"/>
              </w:numPr>
              <w:spacing w:after="0"/>
            </w:pPr>
            <w:r>
              <w:t>For the initial RRCResume procedure, the base key is the key stored in the UE INACTIVE AS context</w:t>
            </w:r>
          </w:p>
          <w:p w14:paraId="15B4B48C" w14:textId="77777777" w:rsidR="00EA567C" w:rsidRDefault="00786B2D">
            <w:pPr>
              <w:pStyle w:val="a9"/>
              <w:numPr>
                <w:ilvl w:val="0"/>
                <w:numId w:val="52"/>
              </w:numPr>
              <w:spacing w:after="0"/>
            </w:pPr>
            <w:r>
              <w:t xml:space="preserve">For the second RRCResume procedure (i.e. upon non-SDT data arrival and if CCCH message is to be used), then the UE has to derive a new key but for this key derivation, the base key is </w:t>
            </w:r>
            <w:r>
              <w:rPr>
                <w:b/>
                <w:bCs/>
                <w:u w:val="single"/>
              </w:rPr>
              <w:t>NOT</w:t>
            </w:r>
            <w:r>
              <w:t xml:space="preserve"> the key stored in UE AS context (it is the key that id derived in step a) above. This procedure needs to be updated in RRCResume. </w:t>
            </w:r>
          </w:p>
          <w:p w14:paraId="15B4B48D" w14:textId="77777777" w:rsidR="00EA567C" w:rsidRDefault="00EA567C">
            <w:pPr>
              <w:spacing w:after="0"/>
            </w:pPr>
          </w:p>
          <w:p w14:paraId="15B4B48E" w14:textId="77777777" w:rsidR="00EA567C" w:rsidRDefault="00EA567C">
            <w:pPr>
              <w:spacing w:after="0"/>
            </w:pPr>
          </w:p>
          <w:p w14:paraId="15B4B48F" w14:textId="77777777" w:rsidR="00EA567C" w:rsidRDefault="00786B2D">
            <w:pPr>
              <w:spacing w:after="0"/>
            </w:pPr>
            <w:r>
              <w:t xml:space="preserve">Then, horizontal key derivation (i.e. Option 1.c) does not work in all cases.  The problem is that there could be cases where the network may </w:t>
            </w:r>
            <w:r>
              <w:lastRenderedPageBreak/>
              <w:t xml:space="preserve">not have received the first RRCResume message and the keys between network and UE will go out of sync in this case. </w:t>
            </w:r>
          </w:p>
          <w:p w14:paraId="15B4B490" w14:textId="77777777" w:rsidR="00EA567C" w:rsidRDefault="00786B2D">
            <w:pPr>
              <w:spacing w:after="0"/>
            </w:pPr>
            <w:r>
              <w:t xml:space="preserve">For instance, if the UE autonomously terminates the RACH procedure and derives a new set of security keys, then it could be the case that the first RRCResumeRequest message is not received at the network and hence the network will not be able to derive the same security key in this case.. </w:t>
            </w:r>
          </w:p>
          <w:p w14:paraId="15B4B491" w14:textId="77777777" w:rsidR="00EA567C" w:rsidRDefault="00EA567C">
            <w:pPr>
              <w:spacing w:after="0"/>
            </w:pPr>
          </w:p>
          <w:p w14:paraId="15B4B492" w14:textId="77777777" w:rsidR="00EA567C" w:rsidRDefault="00786B2D">
            <w:pPr>
              <w:spacing w:after="0"/>
            </w:pPr>
            <w:r>
              <w:t xml:space="preserve">So, even if we want to go through option 1.c), we need to ensure at least that the network has received the first UL message. In this case, we need two different solutions: </w:t>
            </w:r>
          </w:p>
          <w:p w14:paraId="15B4B493" w14:textId="77777777" w:rsidR="00EA567C" w:rsidRDefault="00786B2D">
            <w:pPr>
              <w:pStyle w:val="a9"/>
              <w:numPr>
                <w:ilvl w:val="0"/>
                <w:numId w:val="8"/>
              </w:numPr>
              <w:spacing w:after="0"/>
            </w:pPr>
            <w:r>
              <w:t xml:space="preserve">Before contention resolution, if the UE terminates the ongoing RACH procedure, then it is unclear which keys shall be used on the UE side. Horizontal key derivation will not work in this case because the network will not be aware of the first RRCResume. </w:t>
            </w:r>
            <w:r>
              <w:rPr>
                <w:highlight w:val="yellow"/>
              </w:rPr>
              <w:t>This needs to be clarified in this solution.</w:t>
            </w:r>
          </w:p>
          <w:p w14:paraId="15B4B494" w14:textId="77777777" w:rsidR="00EA567C" w:rsidRDefault="00786B2D">
            <w:pPr>
              <w:pStyle w:val="a9"/>
              <w:numPr>
                <w:ilvl w:val="0"/>
                <w:numId w:val="8"/>
              </w:numPr>
              <w:spacing w:after="0"/>
            </w:pPr>
            <w:r>
              <w:t>After contention resolution, then, option 1.c) can work, but then it means that the UE may have to adopt different solution based on whether or not contention resolution has happened.</w:t>
            </w:r>
          </w:p>
          <w:p w14:paraId="15B4B495" w14:textId="77777777" w:rsidR="00EA567C" w:rsidRDefault="00786B2D">
            <w:pPr>
              <w:spacing w:after="0"/>
            </w:pPr>
            <w:r>
              <w:t xml:space="preserve"> Based on this we would like to note the following observation: </w:t>
            </w:r>
          </w:p>
          <w:p w14:paraId="15B4B496" w14:textId="77777777" w:rsidR="00EA567C" w:rsidRDefault="00EA567C">
            <w:pPr>
              <w:spacing w:after="0"/>
            </w:pPr>
          </w:p>
          <w:p w14:paraId="15B4B497" w14:textId="77777777" w:rsidR="00EA567C" w:rsidRDefault="00786B2D">
            <w:pPr>
              <w:spacing w:after="0"/>
            </w:pPr>
            <w:r>
              <w:t xml:space="preserve">Observation: the CCCH solution should adopt one of the following options: </w:t>
            </w:r>
          </w:p>
          <w:p w14:paraId="15B4B498" w14:textId="77777777" w:rsidR="00EA567C" w:rsidRDefault="00786B2D">
            <w:pPr>
              <w:spacing w:after="0"/>
            </w:pPr>
            <w:r>
              <w:rPr>
                <w:b/>
                <w:bCs/>
                <w:u w:val="single"/>
              </w:rPr>
              <w:t>Option 1</w:t>
            </w:r>
            <w:r>
              <w:t>: If the horizontal key derivation based on the initial derived key is used for the second RRCResumeProcedure, then an indication is needed in the RRCResumeReq to indicate that this is the second RRCResumeReq (to enable the network to also calculate the key correctly – if not, there should be a requirement that horizontal key derivation can only be used after contention resolution and prior to contention resolution, UE has to use same key and we need to check if this is okay)</w:t>
            </w:r>
          </w:p>
          <w:p w14:paraId="15B4B499" w14:textId="77777777" w:rsidR="00EA567C" w:rsidRDefault="00786B2D">
            <w:pPr>
              <w:spacing w:after="0"/>
            </w:pPr>
            <w:r>
              <w:rPr>
                <w:b/>
                <w:bCs/>
                <w:u w:val="single"/>
              </w:rPr>
              <w:t>Option 2</w:t>
            </w:r>
            <w:r>
              <w:t xml:space="preserve">: If the key stored in the UE Inactive AS context is used as the base key for the second key derivation, then the same key is derived in first and second RRCResume. In this case, the COUNT should not be reset (i.e. the existing RRCResume procedure is not applicable – UE has to keep continue the count to ensure no count reuse with same key). Also in this case, there is no need for the new kgNB to be included in UEContextResponse message from anchor gNB. </w:t>
            </w:r>
          </w:p>
          <w:p w14:paraId="15B4B49A" w14:textId="77777777" w:rsidR="00EA567C" w:rsidRDefault="00EA567C">
            <w:pPr>
              <w:spacing w:after="0"/>
            </w:pPr>
          </w:p>
          <w:p w14:paraId="15B4B49B" w14:textId="77777777" w:rsidR="00EA567C" w:rsidRDefault="00786B2D">
            <w:pPr>
              <w:spacing w:after="0"/>
            </w:pPr>
            <w:r>
              <w:t xml:space="preserve">We need to decide which option to choose for CCCH solution.  </w:t>
            </w:r>
          </w:p>
        </w:tc>
      </w:tr>
      <w:tr w:rsidR="00EA567C" w14:paraId="15B4B4A0" w14:textId="77777777">
        <w:tc>
          <w:tcPr>
            <w:tcW w:w="1975" w:type="dxa"/>
          </w:tcPr>
          <w:p w14:paraId="15B4B49D" w14:textId="77777777" w:rsidR="00EA567C" w:rsidRDefault="00786B2D">
            <w:pPr>
              <w:spacing w:after="0"/>
            </w:pPr>
            <w:r>
              <w:lastRenderedPageBreak/>
              <w:t>InterDigital</w:t>
            </w:r>
          </w:p>
        </w:tc>
        <w:tc>
          <w:tcPr>
            <w:tcW w:w="1170" w:type="dxa"/>
          </w:tcPr>
          <w:p w14:paraId="15B4B49E" w14:textId="77777777" w:rsidR="00EA567C" w:rsidRDefault="00786B2D">
            <w:pPr>
              <w:spacing w:after="0"/>
            </w:pPr>
            <w:r>
              <w:t>1.x)</w:t>
            </w:r>
          </w:p>
        </w:tc>
        <w:tc>
          <w:tcPr>
            <w:tcW w:w="6205" w:type="dxa"/>
          </w:tcPr>
          <w:p w14:paraId="15B4B49F" w14:textId="77777777" w:rsidR="00EA567C" w:rsidRDefault="00786B2D">
            <w:pPr>
              <w:spacing w:after="0"/>
            </w:pPr>
            <w:r>
              <w:t>If new keys are derived in the middle of the switch, then PDCP should be re-established to apply the new keys. Otherwise, PDCP is retained without any suspension/release as data transmission continues after the switch.</w:t>
            </w:r>
          </w:p>
        </w:tc>
      </w:tr>
      <w:tr w:rsidR="00EA567C" w14:paraId="15B4B4A4" w14:textId="77777777">
        <w:tc>
          <w:tcPr>
            <w:tcW w:w="1975" w:type="dxa"/>
          </w:tcPr>
          <w:p w14:paraId="15B4B4A1" w14:textId="77777777" w:rsidR="00EA567C" w:rsidRDefault="00786B2D">
            <w:pPr>
              <w:spacing w:after="0"/>
            </w:pPr>
            <w:r>
              <w:t>CATT</w:t>
            </w:r>
          </w:p>
        </w:tc>
        <w:tc>
          <w:tcPr>
            <w:tcW w:w="1170" w:type="dxa"/>
          </w:tcPr>
          <w:p w14:paraId="15B4B4A2" w14:textId="77777777" w:rsidR="00EA567C" w:rsidRDefault="00786B2D">
            <w:pPr>
              <w:spacing w:after="0"/>
            </w:pPr>
            <w:r>
              <w:t>Option 1.a)</w:t>
            </w:r>
          </w:p>
        </w:tc>
        <w:tc>
          <w:tcPr>
            <w:tcW w:w="6205" w:type="dxa"/>
          </w:tcPr>
          <w:p w14:paraId="15B4B4A3" w14:textId="77777777" w:rsidR="00EA567C" w:rsidRDefault="00786B2D">
            <w:pPr>
              <w:spacing w:after="0"/>
            </w:pPr>
            <w:r>
              <w:t>Prefer to reuse legacy behaviour as much as possible.</w:t>
            </w:r>
          </w:p>
        </w:tc>
      </w:tr>
      <w:tr w:rsidR="00EA567C" w14:paraId="15B4B4A8" w14:textId="77777777">
        <w:tc>
          <w:tcPr>
            <w:tcW w:w="1975" w:type="dxa"/>
          </w:tcPr>
          <w:p w14:paraId="15B4B4A5" w14:textId="77777777" w:rsidR="00EA567C" w:rsidRDefault="00786B2D">
            <w:pPr>
              <w:spacing w:after="0"/>
            </w:pPr>
            <w:r>
              <w:rPr>
                <w:rFonts w:eastAsiaTheme="minorEastAsia" w:hint="eastAsia"/>
              </w:rPr>
              <w:t>Samsung</w:t>
            </w:r>
          </w:p>
        </w:tc>
        <w:tc>
          <w:tcPr>
            <w:tcW w:w="1170" w:type="dxa"/>
          </w:tcPr>
          <w:p w14:paraId="15B4B4A6" w14:textId="77777777" w:rsidR="00EA567C" w:rsidRDefault="00EA567C">
            <w:pPr>
              <w:spacing w:after="0"/>
            </w:pPr>
          </w:p>
        </w:tc>
        <w:tc>
          <w:tcPr>
            <w:tcW w:w="6205" w:type="dxa"/>
          </w:tcPr>
          <w:p w14:paraId="15B4B4A7" w14:textId="77777777" w:rsidR="00EA567C" w:rsidRDefault="00786B2D">
            <w:pPr>
              <w:spacing w:after="0"/>
            </w:pPr>
            <w:r>
              <w:rPr>
                <w:rFonts w:eastAsiaTheme="minorEastAsia" w:hint="eastAsia"/>
              </w:rPr>
              <w:t>Agree with ZTE's observations</w:t>
            </w:r>
          </w:p>
        </w:tc>
      </w:tr>
      <w:tr w:rsidR="00EA567C" w14:paraId="15B4B4AC" w14:textId="77777777">
        <w:tc>
          <w:tcPr>
            <w:tcW w:w="1975" w:type="dxa"/>
          </w:tcPr>
          <w:p w14:paraId="15B4B4A9" w14:textId="77777777" w:rsidR="00EA567C" w:rsidRDefault="00786B2D">
            <w:pPr>
              <w:spacing w:after="0"/>
              <w:rPr>
                <w:rFonts w:eastAsiaTheme="minorEastAsia"/>
              </w:rPr>
            </w:pPr>
            <w:r>
              <w:rPr>
                <w:rFonts w:eastAsiaTheme="minorEastAsia" w:hint="eastAsia"/>
              </w:rPr>
              <w:t>Fujitsu</w:t>
            </w:r>
          </w:p>
        </w:tc>
        <w:tc>
          <w:tcPr>
            <w:tcW w:w="1170" w:type="dxa"/>
          </w:tcPr>
          <w:p w14:paraId="15B4B4AA" w14:textId="77777777" w:rsidR="00EA567C" w:rsidRDefault="00786B2D">
            <w:pPr>
              <w:spacing w:after="0"/>
            </w:pPr>
            <w:r>
              <w:rPr>
                <w:rFonts w:eastAsiaTheme="minorEastAsia" w:hint="eastAsia"/>
              </w:rPr>
              <w:t>Option 1.a)</w:t>
            </w:r>
          </w:p>
        </w:tc>
        <w:tc>
          <w:tcPr>
            <w:tcW w:w="6205" w:type="dxa"/>
          </w:tcPr>
          <w:p w14:paraId="15B4B4AB" w14:textId="77777777" w:rsidR="00EA567C" w:rsidRDefault="00786B2D">
            <w:pPr>
              <w:spacing w:after="0"/>
              <w:rPr>
                <w:rFonts w:eastAsiaTheme="minorEastAsia"/>
              </w:rPr>
            </w:pPr>
            <w:r>
              <w:rPr>
                <w:rFonts w:eastAsiaTheme="minorEastAsia" w:hint="eastAsia"/>
              </w:rPr>
              <w:t>We also think that the starting point is the legacy behaviour.</w:t>
            </w:r>
          </w:p>
        </w:tc>
      </w:tr>
      <w:tr w:rsidR="00EA567C" w14:paraId="15B4B4B1" w14:textId="77777777">
        <w:tc>
          <w:tcPr>
            <w:tcW w:w="1975" w:type="dxa"/>
          </w:tcPr>
          <w:p w14:paraId="15B4B4AD"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4AE" w14:textId="77777777" w:rsidR="00EA567C" w:rsidRDefault="00786B2D">
            <w:pPr>
              <w:spacing w:after="0"/>
              <w:rPr>
                <w:rFonts w:eastAsia="Malgun Gothic"/>
                <w:lang w:eastAsia="ko-KR"/>
              </w:rPr>
            </w:pPr>
            <w:r>
              <w:rPr>
                <w:rFonts w:eastAsia="Malgun Gothic" w:hint="eastAsia"/>
                <w:lang w:eastAsia="ko-KR"/>
              </w:rPr>
              <w:t>1.a or 1.c</w:t>
            </w:r>
          </w:p>
        </w:tc>
        <w:tc>
          <w:tcPr>
            <w:tcW w:w="6205" w:type="dxa"/>
          </w:tcPr>
          <w:p w14:paraId="15B4B4AF" w14:textId="77777777" w:rsidR="00EA567C" w:rsidRDefault="00786B2D">
            <w:pPr>
              <w:spacing w:after="0"/>
              <w:rPr>
                <w:rFonts w:eastAsia="Malgun Gothic"/>
                <w:lang w:eastAsia="ko-KR"/>
              </w:rPr>
            </w:pPr>
            <w:r>
              <w:rPr>
                <w:rFonts w:eastAsia="Malgun Gothic" w:hint="eastAsia"/>
                <w:lang w:eastAsia="ko-KR"/>
              </w:rPr>
              <w:t xml:space="preserve">If there is no security issue, 1.a is enough. </w:t>
            </w:r>
            <w:r>
              <w:rPr>
                <w:rFonts w:eastAsia="Malgun Gothic"/>
                <w:lang w:eastAsia="ko-KR"/>
              </w:rPr>
              <w:t>There is no data loss because PDCP SDUs are not discarded by PDCP Suspend.</w:t>
            </w:r>
          </w:p>
          <w:p w14:paraId="15B4B4B0" w14:textId="77777777" w:rsidR="00EA567C" w:rsidRDefault="00786B2D">
            <w:pPr>
              <w:spacing w:after="0"/>
              <w:rPr>
                <w:rFonts w:eastAsia="Malgun Gothic"/>
                <w:lang w:eastAsia="ko-KR"/>
              </w:rPr>
            </w:pPr>
            <w:r>
              <w:rPr>
                <w:rFonts w:eastAsia="Malgun Gothic"/>
                <w:lang w:eastAsia="ko-KR"/>
              </w:rPr>
              <w:t>If there is security issue, 1.c may need to be considered.</w:t>
            </w:r>
          </w:p>
        </w:tc>
      </w:tr>
      <w:tr w:rsidR="00035B12" w14:paraId="35560A30" w14:textId="77777777">
        <w:tc>
          <w:tcPr>
            <w:tcW w:w="1975" w:type="dxa"/>
          </w:tcPr>
          <w:p w14:paraId="2260AD09" w14:textId="5303506C" w:rsidR="00035B12" w:rsidRDefault="00035B12" w:rsidP="00035B12">
            <w:pPr>
              <w:spacing w:after="0"/>
              <w:rPr>
                <w:rFonts w:eastAsia="Malgun Gothic"/>
                <w:lang w:eastAsia="ko-KR"/>
              </w:rPr>
            </w:pPr>
            <w:r>
              <w:t>Intel</w:t>
            </w:r>
          </w:p>
        </w:tc>
        <w:tc>
          <w:tcPr>
            <w:tcW w:w="1170" w:type="dxa"/>
          </w:tcPr>
          <w:p w14:paraId="4131273C" w14:textId="77777777" w:rsidR="00035B12" w:rsidRDefault="00035B12" w:rsidP="00035B12">
            <w:pPr>
              <w:spacing w:after="0"/>
            </w:pPr>
            <w:r>
              <w:t xml:space="preserve">1.a) (including 1.c) as explained </w:t>
            </w:r>
            <w:r>
              <w:lastRenderedPageBreak/>
              <w:t>in next Q.14)) or</w:t>
            </w:r>
          </w:p>
          <w:p w14:paraId="15BB0722" w14:textId="77777777" w:rsidR="00035B12" w:rsidRDefault="00035B12" w:rsidP="00035B12">
            <w:pPr>
              <w:spacing w:after="0"/>
            </w:pPr>
            <w:r>
              <w:t>1.b)</w:t>
            </w:r>
          </w:p>
          <w:p w14:paraId="71DAFC39" w14:textId="77777777" w:rsidR="00035B12" w:rsidRDefault="00035B12" w:rsidP="00035B12">
            <w:pPr>
              <w:spacing w:after="0"/>
              <w:rPr>
                <w:rFonts w:eastAsia="Malgun Gothic"/>
                <w:lang w:eastAsia="ko-KR"/>
              </w:rPr>
            </w:pPr>
          </w:p>
        </w:tc>
        <w:tc>
          <w:tcPr>
            <w:tcW w:w="6205" w:type="dxa"/>
          </w:tcPr>
          <w:p w14:paraId="430D7121" w14:textId="77777777" w:rsidR="00035B12" w:rsidRDefault="00035B12" w:rsidP="00035B12">
            <w:pPr>
              <w:spacing w:after="0"/>
            </w:pPr>
            <w:r>
              <w:lastRenderedPageBreak/>
              <w:t>All options are technically feasible. The implications are as explained:</w:t>
            </w:r>
          </w:p>
          <w:p w14:paraId="75B9C74B" w14:textId="77777777" w:rsidR="00035B12" w:rsidRDefault="00035B12" w:rsidP="00035B12">
            <w:pPr>
              <w:pStyle w:val="a9"/>
              <w:numPr>
                <w:ilvl w:val="0"/>
                <w:numId w:val="56"/>
              </w:numPr>
              <w:spacing w:after="0" w:line="256" w:lineRule="auto"/>
            </w:pPr>
            <w:r>
              <w:t xml:space="preserve">For option 1.a), UE and network may not be able to detect data duplication and to prevent data loss. </w:t>
            </w:r>
          </w:p>
          <w:p w14:paraId="731F6CF2" w14:textId="77777777" w:rsidR="00035B12" w:rsidRPr="00035B12" w:rsidRDefault="00035B12" w:rsidP="00035B12">
            <w:pPr>
              <w:pStyle w:val="a9"/>
              <w:numPr>
                <w:ilvl w:val="0"/>
                <w:numId w:val="56"/>
              </w:numPr>
              <w:spacing w:after="0" w:line="256" w:lineRule="auto"/>
            </w:pPr>
            <w:r>
              <w:lastRenderedPageBreak/>
              <w:t>For option 1.b), UE and network needs to be aligned/synched on not resetting the PDCP COUNT and not flushing the PDCP PDUs.</w:t>
            </w:r>
          </w:p>
          <w:p w14:paraId="790AFB42" w14:textId="17A384EA" w:rsidR="00035B12" w:rsidRDefault="00035B12" w:rsidP="00035B12">
            <w:pPr>
              <w:spacing w:after="0"/>
              <w:rPr>
                <w:rFonts w:eastAsia="Malgun Gothic"/>
                <w:lang w:eastAsia="ko-KR"/>
              </w:rPr>
            </w:pPr>
            <w:r w:rsidRPr="00035B12">
              <w:t>Note: we share the view explained by Rapporteur above that option 1.c) is a sub-option of option 1.a) that addresses how the security key is generated when PDCP is suspended (and PDCP COUNT is reset).</w:t>
            </w:r>
          </w:p>
        </w:tc>
      </w:tr>
      <w:tr w:rsidR="00D56910" w14:paraId="7F0D6810" w14:textId="77777777">
        <w:tc>
          <w:tcPr>
            <w:tcW w:w="1975" w:type="dxa"/>
          </w:tcPr>
          <w:p w14:paraId="100B4BDF" w14:textId="32FCB887" w:rsidR="00D56910" w:rsidRDefault="00D56910" w:rsidP="00D56910">
            <w:pPr>
              <w:spacing w:after="0"/>
            </w:pPr>
            <w:r>
              <w:rPr>
                <w:rFonts w:hint="eastAsia"/>
                <w:lang w:eastAsia="zh-CN"/>
              </w:rPr>
              <w:lastRenderedPageBreak/>
              <w:t>N</w:t>
            </w:r>
            <w:r>
              <w:rPr>
                <w:lang w:eastAsia="zh-CN"/>
              </w:rPr>
              <w:t>EC</w:t>
            </w:r>
          </w:p>
        </w:tc>
        <w:tc>
          <w:tcPr>
            <w:tcW w:w="1170" w:type="dxa"/>
          </w:tcPr>
          <w:p w14:paraId="1C6A5F83" w14:textId="243FEFE2" w:rsidR="00D56910" w:rsidRDefault="00D56910" w:rsidP="00D56910">
            <w:pPr>
              <w:spacing w:after="0"/>
            </w:pPr>
            <w:r>
              <w:t>Option 1.b)</w:t>
            </w:r>
          </w:p>
        </w:tc>
        <w:tc>
          <w:tcPr>
            <w:tcW w:w="6205" w:type="dxa"/>
          </w:tcPr>
          <w:p w14:paraId="37DEF297" w14:textId="373547F7" w:rsidR="00D56910" w:rsidRDefault="00D56910" w:rsidP="00D56910">
            <w:pPr>
              <w:spacing w:after="0"/>
            </w:pPr>
            <w:r>
              <w:rPr>
                <w:lang w:eastAsia="zh-CN"/>
              </w:rPr>
              <w:t>We think this depends on the solution to solve the key stream issue. If new keys can be obtained in the second RRC Resume procedure, the existing procedure Option 1.a) can be used; and if the keys maintained, new</w:t>
            </w:r>
            <w:r w:rsidRPr="00366F54">
              <w:rPr>
                <w:lang w:eastAsia="zh-CN"/>
              </w:rPr>
              <w:t xml:space="preserve"> behaviour </w:t>
            </w:r>
            <w:r>
              <w:rPr>
                <w:lang w:eastAsia="zh-CN"/>
              </w:rPr>
              <w:t xml:space="preserve">Option 1.b) should be used. We prefer to avoid SA3 impact as much as possible, </w:t>
            </w:r>
            <w:r>
              <w:rPr>
                <w:rFonts w:hint="eastAsia"/>
                <w:lang w:eastAsia="zh-CN"/>
              </w:rPr>
              <w:t>s</w:t>
            </w:r>
            <w:r>
              <w:rPr>
                <w:lang w:eastAsia="zh-CN"/>
              </w:rPr>
              <w:t>o Option 1.b) is better.</w:t>
            </w:r>
          </w:p>
        </w:tc>
      </w:tr>
    </w:tbl>
    <w:p w14:paraId="15B4B4B2" w14:textId="77777777" w:rsidR="00EA567C" w:rsidRDefault="00EA567C">
      <w:pPr>
        <w:rPr>
          <w:rFonts w:ascii="Times New Roman" w:hAnsi="Times New Roman" w:cs="Times New Roman"/>
          <w:sz w:val="20"/>
          <w:szCs w:val="20"/>
        </w:rPr>
      </w:pPr>
    </w:p>
    <w:p w14:paraId="15B4B4B3" w14:textId="77777777" w:rsidR="00EA567C" w:rsidRDefault="00786B2D">
      <w:pPr>
        <w:pStyle w:val="3"/>
      </w:pPr>
      <w:r>
        <w:t>[CCCH point (2)] RACH, UAC associated with the 2</w:t>
      </w:r>
      <w:r>
        <w:rPr>
          <w:vertAlign w:val="superscript"/>
        </w:rPr>
        <w:t>nd</w:t>
      </w:r>
      <w:r>
        <w:t xml:space="preserve"> resume proc.</w:t>
      </w:r>
    </w:p>
    <w:p w14:paraId="15B4B4B4" w14:textId="77777777" w:rsidR="00EA567C" w:rsidRDefault="00786B2D">
      <w:pPr>
        <w:jc w:val="both"/>
        <w:rPr>
          <w:rFonts w:ascii="Times New Roman" w:hAnsi="Times New Roman"/>
          <w:sz w:val="20"/>
        </w:rPr>
      </w:pPr>
      <w:r>
        <w:rPr>
          <w:rFonts w:ascii="Times New Roman" w:hAnsi="Times New Roman" w:cs="Times New Roman"/>
          <w:sz w:val="20"/>
          <w:szCs w:val="20"/>
        </w:rPr>
        <w:t xml:space="preserve">It is explained that CCCH-based approach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rPr>
        <w:t xml:space="preserve"> may require additional signalling to the network (e.g. RACH) and applies again UAC same as any UE in RRC_INACTIVE in order to send non-SDT data</w:t>
      </w:r>
    </w:p>
    <w:p w14:paraId="15B4B4B5" w14:textId="77777777" w:rsidR="00EA567C" w:rsidRDefault="00786B2D">
      <w:pPr>
        <w:pStyle w:val="observ"/>
        <w:ind w:left="360"/>
      </w:pPr>
      <w:r>
        <w:t>When switching from SDT to non-SDT via CCCH-based approach, AS applies UAC and initiates random access procedure same as any legacy UE in RRC_INACTIVE</w:t>
      </w:r>
      <w:r>
        <w:rPr>
          <w:lang w:eastAsia="x-none"/>
        </w:rPr>
        <w:t>.</w:t>
      </w:r>
    </w:p>
    <w:p w14:paraId="15B4B4B6" w14:textId="77777777" w:rsidR="00EA567C" w:rsidRDefault="00EA567C"/>
    <w:p w14:paraId="15B4B4B7" w14:textId="77777777" w:rsidR="00EA567C" w:rsidRDefault="00786B2D">
      <w:pPr>
        <w:pStyle w:val="3"/>
      </w:pPr>
      <w:bookmarkStart w:id="82" w:name="_Ref74945710"/>
      <w:r>
        <w:rPr>
          <w:lang w:val="en-US"/>
        </w:rPr>
        <w:t>[CCCH p</w:t>
      </w:r>
      <w:r>
        <w:t>oint (</w:t>
      </w:r>
      <w:r>
        <w:rPr>
          <w:lang w:val="en-US"/>
        </w:rPr>
        <w:t>3</w:t>
      </w:r>
      <w:r>
        <w:t>)</w:t>
      </w:r>
      <w:r>
        <w:rPr>
          <w:lang w:val="en-US"/>
        </w:rPr>
        <w:t>] R</w:t>
      </w:r>
      <w:r>
        <w:t>esume cause</w:t>
      </w:r>
      <w:bookmarkEnd w:id="82"/>
      <w:r>
        <w:t xml:space="preserve"> </w:t>
      </w:r>
    </w:p>
    <w:p w14:paraId="15B4B4B8" w14:textId="77777777" w:rsidR="00EA567C" w:rsidRDefault="00786B2D">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This point (3) discuss the proposal that this 2</w:t>
      </w:r>
      <w:r>
        <w:rPr>
          <w:rFonts w:ascii="Times New Roman" w:hAnsi="Times New Roman" w:cs="Times New Roman"/>
          <w:sz w:val="20"/>
          <w:szCs w:val="20"/>
          <w:vertAlign w:val="superscript"/>
          <w:lang w:eastAsia="x-none"/>
        </w:rPr>
        <w:t>nd</w:t>
      </w:r>
      <w:r>
        <w:rPr>
          <w:rFonts w:ascii="Times New Roman" w:hAnsi="Times New Roman" w:cs="Times New Roman"/>
          <w:sz w:val="20"/>
          <w:szCs w:val="20"/>
          <w:lang w:eastAsia="x-none"/>
        </w:rPr>
        <w:t xml:space="preserve"> </w:t>
      </w:r>
      <w:r>
        <w:rPr>
          <w:rFonts w:ascii="Times New Roman" w:hAnsi="Times New Roman" w:cs="Times New Roman"/>
          <w:i/>
          <w:iCs/>
          <w:sz w:val="20"/>
          <w:szCs w:val="20"/>
          <w:lang w:eastAsia="x-none"/>
        </w:rPr>
        <w:t>RRCResumeRequest</w:t>
      </w:r>
      <w:r>
        <w:rPr>
          <w:rFonts w:ascii="Times New Roman" w:hAnsi="Times New Roman" w:cs="Times New Roman"/>
          <w:sz w:val="20"/>
          <w:szCs w:val="20"/>
          <w:lang w:eastAsia="x-none"/>
        </w:rPr>
        <w:t xml:space="preserve"> message uses a new resume cause value (for the network to differentiate it)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_Ref74088907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[20]</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t>.</w:t>
      </w:r>
    </w:p>
    <w:p w14:paraId="15B4B4B9" w14:textId="77777777" w:rsidR="00EA567C" w:rsidRDefault="00786B2D">
      <w:pPr>
        <w:pStyle w:val="a9"/>
        <w:numPr>
          <w:ilvl w:val="0"/>
          <w:numId w:val="6"/>
        </w:numPr>
        <w:spacing w:after="120"/>
        <w:ind w:left="360"/>
        <w:contextualSpacing w:val="0"/>
        <w:jc w:val="both"/>
        <w:rPr>
          <w:color w:val="A6A6A6" w:themeColor="background1" w:themeShade="A6"/>
        </w:rPr>
      </w:pPr>
      <w:bookmarkStart w:id="83" w:name="_Ref74258597"/>
      <w:r>
        <w:rPr>
          <w:color w:val="A6A6A6" w:themeColor="background1" w:themeShade="A6"/>
        </w:rPr>
        <w:t>When switching from SDT to non-SDT via CCCH-based approach, whether a new value of the resume case is defined to differentiate the UE that had an ongoing SDT session and is sending a 2</w:t>
      </w:r>
      <w:r>
        <w:rPr>
          <w:color w:val="A6A6A6" w:themeColor="background1" w:themeShade="A6"/>
          <w:vertAlign w:val="superscript"/>
        </w:rPr>
        <w:t>nd</w:t>
      </w:r>
      <w:r>
        <w:rPr>
          <w:color w:val="A6A6A6" w:themeColor="background1" w:themeShade="A6"/>
        </w:rPr>
        <w:t xml:space="preserve"> </w:t>
      </w:r>
      <w:r>
        <w:rPr>
          <w:i/>
          <w:iCs/>
          <w:color w:val="A6A6A6" w:themeColor="background1" w:themeShade="A6"/>
        </w:rPr>
        <w:t>RRCResumeRequest</w:t>
      </w:r>
      <w:r>
        <w:rPr>
          <w:color w:val="A6A6A6" w:themeColor="background1" w:themeShade="A6"/>
        </w:rPr>
        <w:t>.</w:t>
      </w:r>
      <w:bookmarkEnd w:id="83"/>
    </w:p>
    <w:p w14:paraId="15B4B4BA" w14:textId="77777777" w:rsidR="00EA567C" w:rsidRDefault="00786B2D">
      <w:pPr>
        <w:pStyle w:val="4"/>
        <w:rPr>
          <w:color w:val="0000CC"/>
        </w:rPr>
      </w:pPr>
      <w:r>
        <w:rPr>
          <w:color w:val="0000CC"/>
          <w:lang w:val="en-US"/>
        </w:rPr>
        <w:fldChar w:fldCharType="begin"/>
      </w:r>
      <w:r>
        <w:rPr>
          <w:color w:val="0000CC"/>
          <w:lang w:val="en-US"/>
        </w:rPr>
        <w:instrText xml:space="preserve"> REF _Ref75004482 \r \h </w:instrText>
      </w:r>
      <w:r>
        <w:rPr>
          <w:color w:val="0000CC"/>
          <w:lang w:val="en-US"/>
        </w:rPr>
      </w:r>
      <w:r>
        <w:rPr>
          <w:color w:val="0000CC"/>
          <w:lang w:val="en-US"/>
        </w:rPr>
        <w:fldChar w:fldCharType="separate"/>
      </w:r>
      <w:r>
        <w:rPr>
          <w:color w:val="0000CC"/>
          <w:lang w:val="en-US"/>
        </w:rPr>
        <w:t>Q.11)</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4BB"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_Ref75004482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Q.11)</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4BC" w14:textId="77777777" w:rsidR="00EA567C" w:rsidRDefault="00786B2D">
      <w:pPr>
        <w:pStyle w:val="a9"/>
        <w:numPr>
          <w:ilvl w:val="0"/>
          <w:numId w:val="30"/>
        </w:numPr>
        <w:overflowPunct/>
        <w:autoSpaceDE/>
        <w:autoSpaceDN/>
        <w:adjustRightInd/>
        <w:spacing w:after="120" w:line="259" w:lineRule="auto"/>
        <w:contextualSpacing w:val="0"/>
        <w:jc w:val="both"/>
        <w:rPr>
          <w:color w:val="0000CC"/>
        </w:rPr>
      </w:pPr>
      <w:bookmarkStart w:id="84" w:name="_Ref75004482"/>
      <w:r>
        <w:rPr>
          <w:color w:val="0000CC"/>
        </w:rPr>
        <w:t>When switching from SDT to non-SDT via CCCH-based approach, is there any needed for the network to differentiate that this UE had an SDT session ongoing and is sending a 2</w:t>
      </w:r>
      <w:r>
        <w:rPr>
          <w:color w:val="0000CC"/>
          <w:vertAlign w:val="superscript"/>
        </w:rPr>
        <w:t>nd</w:t>
      </w:r>
      <w:r>
        <w:rPr>
          <w:color w:val="0000CC"/>
        </w:rPr>
        <w:t xml:space="preserve"> </w:t>
      </w:r>
      <w:r>
        <w:rPr>
          <w:i/>
          <w:iCs/>
          <w:color w:val="0000CC"/>
        </w:rPr>
        <w:t xml:space="preserve">RRCResumeRequest </w:t>
      </w:r>
      <w:r>
        <w:rPr>
          <w:color w:val="0000CC"/>
        </w:rPr>
        <w:t>msg., for example by including a new value of the resume cause?</w:t>
      </w:r>
      <w:bookmarkEnd w:id="84"/>
    </w:p>
    <w:tbl>
      <w:tblPr>
        <w:tblStyle w:val="ab"/>
        <w:tblW w:w="0" w:type="auto"/>
        <w:tblLook w:val="04A0" w:firstRow="1" w:lastRow="0" w:firstColumn="1" w:lastColumn="0" w:noHBand="0" w:noVBand="1"/>
      </w:tblPr>
      <w:tblGrid>
        <w:gridCol w:w="1975"/>
        <w:gridCol w:w="1170"/>
        <w:gridCol w:w="6205"/>
      </w:tblGrid>
      <w:tr w:rsidR="00EA567C" w14:paraId="15B4B4C0" w14:textId="77777777">
        <w:tc>
          <w:tcPr>
            <w:tcW w:w="1975" w:type="dxa"/>
            <w:shd w:val="clear" w:color="auto" w:fill="BFBFBF" w:themeFill="background1" w:themeFillShade="BF"/>
          </w:tcPr>
          <w:p w14:paraId="15B4B4BD"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4BE" w14:textId="77777777" w:rsidR="00EA567C" w:rsidRDefault="00786B2D">
            <w:pPr>
              <w:spacing w:after="0"/>
              <w:jc w:val="center"/>
              <w:rPr>
                <w:b/>
                <w:bCs/>
              </w:rPr>
            </w:pPr>
            <w:r>
              <w:rPr>
                <w:b/>
                <w:bCs/>
              </w:rPr>
              <w:t>Yes/No</w:t>
            </w:r>
          </w:p>
        </w:tc>
        <w:tc>
          <w:tcPr>
            <w:tcW w:w="6205" w:type="dxa"/>
            <w:shd w:val="clear" w:color="auto" w:fill="BFBFBF" w:themeFill="background1" w:themeFillShade="BF"/>
          </w:tcPr>
          <w:p w14:paraId="15B4B4BF" w14:textId="77777777" w:rsidR="00EA567C" w:rsidRDefault="00786B2D">
            <w:pPr>
              <w:spacing w:after="0"/>
              <w:jc w:val="center"/>
              <w:rPr>
                <w:b/>
                <w:bCs/>
              </w:rPr>
            </w:pPr>
            <w:r>
              <w:rPr>
                <w:b/>
                <w:bCs/>
              </w:rPr>
              <w:t>Justification</w:t>
            </w:r>
          </w:p>
        </w:tc>
      </w:tr>
      <w:tr w:rsidR="00EA567C" w14:paraId="15B4B4C4" w14:textId="77777777">
        <w:tc>
          <w:tcPr>
            <w:tcW w:w="1975" w:type="dxa"/>
          </w:tcPr>
          <w:p w14:paraId="15B4B4C1" w14:textId="77777777" w:rsidR="00EA567C" w:rsidRDefault="00786B2D">
            <w:pPr>
              <w:spacing w:after="0"/>
            </w:pPr>
            <w:r>
              <w:t>Huawei, HiSilicon</w:t>
            </w:r>
          </w:p>
        </w:tc>
        <w:tc>
          <w:tcPr>
            <w:tcW w:w="1170" w:type="dxa"/>
          </w:tcPr>
          <w:p w14:paraId="15B4B4C2" w14:textId="77777777" w:rsidR="00EA567C" w:rsidRDefault="00786B2D">
            <w:pPr>
              <w:spacing w:after="0"/>
            </w:pPr>
            <w:r>
              <w:t>Yes, but no new indication is required</w:t>
            </w:r>
          </w:p>
        </w:tc>
        <w:tc>
          <w:tcPr>
            <w:tcW w:w="6205" w:type="dxa"/>
          </w:tcPr>
          <w:p w14:paraId="15B4B4C3" w14:textId="77777777" w:rsidR="00EA567C" w:rsidRDefault="00786B2D">
            <w:pPr>
              <w:spacing w:after="0"/>
            </w:pPr>
            <w:r>
              <w:t>gNB will be able to detect that the RRCResumeRequest is coming from the same UE by reading the I-RNTI included in the message. There is no need for a new resume cause nor any other new indication when switching from SDT to non-SDT via CCCH-based approach.</w:t>
            </w:r>
          </w:p>
        </w:tc>
      </w:tr>
      <w:tr w:rsidR="00EA567C" w14:paraId="15B4B4C8" w14:textId="77777777">
        <w:trPr>
          <w:trHeight w:val="43"/>
        </w:trPr>
        <w:tc>
          <w:tcPr>
            <w:tcW w:w="1975" w:type="dxa"/>
          </w:tcPr>
          <w:p w14:paraId="15B4B4C5" w14:textId="77777777" w:rsidR="00EA567C" w:rsidRDefault="00786B2D">
            <w:pPr>
              <w:spacing w:after="0"/>
            </w:pPr>
            <w:r>
              <w:t>ZTE</w:t>
            </w:r>
          </w:p>
        </w:tc>
        <w:tc>
          <w:tcPr>
            <w:tcW w:w="1170" w:type="dxa"/>
          </w:tcPr>
          <w:p w14:paraId="15B4B4C6" w14:textId="77777777" w:rsidR="00EA567C" w:rsidRDefault="00786B2D">
            <w:pPr>
              <w:spacing w:after="0"/>
            </w:pPr>
            <w:r>
              <w:t>Yes</w:t>
            </w:r>
          </w:p>
        </w:tc>
        <w:tc>
          <w:tcPr>
            <w:tcW w:w="6205" w:type="dxa"/>
          </w:tcPr>
          <w:p w14:paraId="15B4B4C7" w14:textId="77777777" w:rsidR="00EA567C" w:rsidRDefault="00786B2D">
            <w:pPr>
              <w:spacing w:after="0"/>
            </w:pPr>
            <w:r>
              <w:t>As noted above the gNB may not have received the first RRCResumeRequest (since the UE can terminate the 1</w:t>
            </w:r>
            <w:r>
              <w:rPr>
                <w:vertAlign w:val="superscript"/>
              </w:rPr>
              <w:t>st</w:t>
            </w:r>
            <w:r>
              <w:t xml:space="preserve"> RRCResume Procedure autonomously). So, a new indication will be needed if the UE uses horizontally derived key for the 2</w:t>
            </w:r>
            <w:r>
              <w:rPr>
                <w:vertAlign w:val="superscript"/>
              </w:rPr>
              <w:t>nd</w:t>
            </w:r>
            <w:r>
              <w:t xml:space="preserve"> RRCResume message. This means that we likely need a new CCCH message for the 2nd RRCResumeReq even in case of option 1.c</w:t>
            </w:r>
          </w:p>
        </w:tc>
      </w:tr>
      <w:tr w:rsidR="00EA567C" w14:paraId="15B4B4CD" w14:textId="77777777">
        <w:tc>
          <w:tcPr>
            <w:tcW w:w="1975" w:type="dxa"/>
          </w:tcPr>
          <w:p w14:paraId="15B4B4C9" w14:textId="77777777" w:rsidR="00EA567C" w:rsidRDefault="00786B2D">
            <w:pPr>
              <w:spacing w:after="0"/>
            </w:pPr>
            <w:r>
              <w:t>InterDigital</w:t>
            </w:r>
          </w:p>
        </w:tc>
        <w:tc>
          <w:tcPr>
            <w:tcW w:w="1170" w:type="dxa"/>
          </w:tcPr>
          <w:p w14:paraId="15B4B4CA" w14:textId="77777777" w:rsidR="00EA567C" w:rsidRDefault="00786B2D">
            <w:pPr>
              <w:spacing w:after="0"/>
            </w:pPr>
            <w:r>
              <w:t>No</w:t>
            </w:r>
          </w:p>
        </w:tc>
        <w:tc>
          <w:tcPr>
            <w:tcW w:w="6205" w:type="dxa"/>
          </w:tcPr>
          <w:p w14:paraId="15B4B4CB" w14:textId="77777777" w:rsidR="00EA567C" w:rsidRDefault="00786B2D">
            <w:pPr>
              <w:spacing w:after="0"/>
            </w:pPr>
            <w:r>
              <w:t>We share Huawei’s view.</w:t>
            </w:r>
          </w:p>
          <w:p w14:paraId="15B4B4CC" w14:textId="77777777" w:rsidR="00EA567C" w:rsidRDefault="00786B2D">
            <w:pPr>
              <w:spacing w:after="0"/>
            </w:pPr>
            <w:r>
              <w:t xml:space="preserve">NW knows whether the same UE had any SDT session before or not for a particular UE and if the UE signals the non-SDT resumption request, then </w:t>
            </w:r>
            <w:r>
              <w:lastRenderedPageBreak/>
              <w:t>NW knows it’s switch from SDT to non-SDT operation. Thus, any additional information doesn’t need to be signalled.</w:t>
            </w:r>
          </w:p>
        </w:tc>
      </w:tr>
      <w:tr w:rsidR="00EA567C" w14:paraId="15B4B4D5" w14:textId="77777777">
        <w:tc>
          <w:tcPr>
            <w:tcW w:w="1975" w:type="dxa"/>
          </w:tcPr>
          <w:p w14:paraId="15B4B4CE" w14:textId="77777777" w:rsidR="00EA567C" w:rsidRDefault="00786B2D">
            <w:pPr>
              <w:spacing w:after="0"/>
            </w:pPr>
            <w:r>
              <w:lastRenderedPageBreak/>
              <w:t>CATT</w:t>
            </w:r>
          </w:p>
        </w:tc>
        <w:tc>
          <w:tcPr>
            <w:tcW w:w="1170" w:type="dxa"/>
          </w:tcPr>
          <w:p w14:paraId="15B4B4CF" w14:textId="77777777" w:rsidR="00EA567C" w:rsidRDefault="00786B2D">
            <w:pPr>
              <w:spacing w:after="0"/>
            </w:pPr>
            <w:r>
              <w:t>Yes</w:t>
            </w:r>
          </w:p>
        </w:tc>
        <w:tc>
          <w:tcPr>
            <w:tcW w:w="6205" w:type="dxa"/>
          </w:tcPr>
          <w:p w14:paraId="15B4B4D0" w14:textId="77777777" w:rsidR="00EA567C" w:rsidRDefault="00786B2D">
            <w:pPr>
              <w:spacing w:after="0"/>
            </w:pPr>
            <w:r>
              <w:t>When receiving a RRCResumeRequest msg which is sent by the UE due to non-SDT available, the gNB may:</w:t>
            </w:r>
          </w:p>
          <w:p w14:paraId="15B4B4D1" w14:textId="77777777" w:rsidR="00EA567C" w:rsidRDefault="00786B2D">
            <w:pPr>
              <w:spacing w:after="0"/>
            </w:pPr>
            <w:r>
              <w:t>-</w:t>
            </w:r>
            <w:r>
              <w:tab/>
              <w:t>Have received the first RRCResumeRequest msg and perform anchor relocation;</w:t>
            </w:r>
          </w:p>
          <w:p w14:paraId="15B4B4D2" w14:textId="77777777" w:rsidR="00EA567C" w:rsidRDefault="00786B2D">
            <w:pPr>
              <w:spacing w:after="0"/>
            </w:pPr>
            <w:r>
              <w:t>-</w:t>
            </w:r>
            <w:r>
              <w:tab/>
              <w:t>Have received the first RRCResumeRequest msg but not perform anchor relocation;</w:t>
            </w:r>
          </w:p>
          <w:p w14:paraId="15B4B4D3" w14:textId="77777777" w:rsidR="00EA567C" w:rsidRDefault="00786B2D">
            <w:pPr>
              <w:spacing w:after="0"/>
            </w:pPr>
            <w:r>
              <w:t>-</w:t>
            </w:r>
            <w:r>
              <w:tab/>
              <w:t>Not have received the first RRCResumeRequest msg.</w:t>
            </w:r>
          </w:p>
          <w:p w14:paraId="15B4B4D4" w14:textId="77777777" w:rsidR="00EA567C" w:rsidRDefault="00786B2D">
            <w:pPr>
              <w:spacing w:after="0"/>
            </w:pPr>
            <w:r>
              <w:t>The gNB needs to be aware the received RRCResumeRequest msg is the second RRCResumeRequest msg even if the gNB haven’t received the first RRCResumeRequest msg, as the calculation of resumeMAC-I should be different between the two RRCResumeRequest msgs.</w:t>
            </w:r>
          </w:p>
        </w:tc>
      </w:tr>
      <w:tr w:rsidR="00EA567C" w14:paraId="15B4B4D9" w14:textId="77777777">
        <w:tc>
          <w:tcPr>
            <w:tcW w:w="1975" w:type="dxa"/>
          </w:tcPr>
          <w:p w14:paraId="15B4B4D6" w14:textId="77777777" w:rsidR="00EA567C" w:rsidRDefault="00786B2D">
            <w:pPr>
              <w:spacing w:after="0"/>
            </w:pPr>
            <w:r>
              <w:rPr>
                <w:rFonts w:eastAsiaTheme="minorEastAsia" w:hint="eastAsia"/>
              </w:rPr>
              <w:t>Samsung</w:t>
            </w:r>
          </w:p>
        </w:tc>
        <w:tc>
          <w:tcPr>
            <w:tcW w:w="1170" w:type="dxa"/>
          </w:tcPr>
          <w:p w14:paraId="15B4B4D7" w14:textId="77777777" w:rsidR="00EA567C" w:rsidRDefault="00786B2D">
            <w:pPr>
              <w:spacing w:after="0"/>
            </w:pPr>
            <w:r>
              <w:rPr>
                <w:rFonts w:eastAsiaTheme="minorEastAsia" w:hint="eastAsia"/>
              </w:rPr>
              <w:t>See comments</w:t>
            </w:r>
          </w:p>
        </w:tc>
        <w:tc>
          <w:tcPr>
            <w:tcW w:w="6205" w:type="dxa"/>
          </w:tcPr>
          <w:p w14:paraId="15B4B4D8" w14:textId="77777777" w:rsidR="00EA567C" w:rsidRDefault="00786B2D">
            <w:pPr>
              <w:spacing w:after="0"/>
            </w:pPr>
            <w:r>
              <w:t>new indication will be needed if the UE uses horizontally derived key for the 2</w:t>
            </w:r>
            <w:r>
              <w:rPr>
                <w:vertAlign w:val="superscript"/>
              </w:rPr>
              <w:t>nd</w:t>
            </w:r>
            <w:r>
              <w:t xml:space="preserve"> RRCResumeRequest message and gNB has not received the first RRCResumeRequest</w:t>
            </w:r>
          </w:p>
        </w:tc>
      </w:tr>
      <w:tr w:rsidR="00EA567C" w14:paraId="15B4B4DD" w14:textId="77777777">
        <w:tc>
          <w:tcPr>
            <w:tcW w:w="1975" w:type="dxa"/>
          </w:tcPr>
          <w:p w14:paraId="15B4B4DA" w14:textId="77777777" w:rsidR="00EA567C" w:rsidRDefault="00786B2D">
            <w:pPr>
              <w:spacing w:after="0"/>
              <w:rPr>
                <w:rFonts w:eastAsiaTheme="minorEastAsia"/>
              </w:rPr>
            </w:pPr>
            <w:r>
              <w:rPr>
                <w:rFonts w:eastAsiaTheme="minorEastAsia" w:hint="eastAsia"/>
              </w:rPr>
              <w:t>Fujitsu</w:t>
            </w:r>
          </w:p>
        </w:tc>
        <w:tc>
          <w:tcPr>
            <w:tcW w:w="1170" w:type="dxa"/>
          </w:tcPr>
          <w:p w14:paraId="15B4B4DB" w14:textId="77777777" w:rsidR="00EA567C" w:rsidRDefault="00786B2D">
            <w:pPr>
              <w:spacing w:after="0"/>
              <w:rPr>
                <w:rFonts w:eastAsiaTheme="minorEastAsia"/>
              </w:rPr>
            </w:pPr>
            <w:r>
              <w:rPr>
                <w:rFonts w:eastAsiaTheme="minorEastAsia" w:hint="eastAsia"/>
              </w:rPr>
              <w:t>No</w:t>
            </w:r>
          </w:p>
        </w:tc>
        <w:tc>
          <w:tcPr>
            <w:tcW w:w="6205" w:type="dxa"/>
          </w:tcPr>
          <w:p w14:paraId="15B4B4DC" w14:textId="77777777" w:rsidR="00EA567C" w:rsidRDefault="00786B2D">
            <w:pPr>
              <w:spacing w:after="0"/>
            </w:pPr>
            <w:r>
              <w:rPr>
                <w:rFonts w:eastAsiaTheme="minorEastAsia" w:hint="eastAsia"/>
              </w:rPr>
              <w:t>We also think that the gNB</w:t>
            </w:r>
            <w:r>
              <w:rPr>
                <w:rFonts w:eastAsiaTheme="minorEastAsia"/>
              </w:rPr>
              <w:t>’s internal counter (non-standardization counter) can count the number of RRCResumeRequest for the particular UE.</w:t>
            </w:r>
          </w:p>
        </w:tc>
      </w:tr>
      <w:tr w:rsidR="00EA567C" w14:paraId="15B4B4E1" w14:textId="77777777">
        <w:tc>
          <w:tcPr>
            <w:tcW w:w="1975" w:type="dxa"/>
          </w:tcPr>
          <w:p w14:paraId="15B4B4DE"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4DF" w14:textId="77777777" w:rsidR="00EA567C" w:rsidRDefault="00786B2D">
            <w:pPr>
              <w:spacing w:after="0"/>
              <w:rPr>
                <w:rFonts w:eastAsia="Malgun Gothic"/>
                <w:lang w:eastAsia="ko-KR"/>
              </w:rPr>
            </w:pPr>
            <w:r>
              <w:t>No</w:t>
            </w:r>
          </w:p>
        </w:tc>
        <w:tc>
          <w:tcPr>
            <w:tcW w:w="6205" w:type="dxa"/>
          </w:tcPr>
          <w:p w14:paraId="15B4B4E0" w14:textId="77777777" w:rsidR="00EA567C" w:rsidRDefault="00786B2D">
            <w:pPr>
              <w:spacing w:after="0"/>
              <w:rPr>
                <w:rFonts w:eastAsia="Malgun Gothic"/>
                <w:lang w:eastAsia="ko-KR"/>
              </w:rPr>
            </w:pPr>
            <w:r>
              <w:rPr>
                <w:rFonts w:eastAsia="Malgun Gothic" w:hint="eastAsia"/>
                <w:lang w:eastAsia="ko-KR"/>
              </w:rPr>
              <w:t xml:space="preserve">The gNB can detect that the UE had an ongoing SDT session based on I-RNTI. </w:t>
            </w:r>
            <w:r>
              <w:rPr>
                <w:rFonts w:eastAsia="Malgun Gothic"/>
                <w:lang w:eastAsia="ko-KR"/>
              </w:rPr>
              <w:t>There is no need to include an indication to indicate that the UE had an ongoing SDT session.</w:t>
            </w:r>
          </w:p>
        </w:tc>
      </w:tr>
      <w:tr w:rsidR="003D1C62" w14:paraId="38CABAE8" w14:textId="77777777">
        <w:tc>
          <w:tcPr>
            <w:tcW w:w="1975" w:type="dxa"/>
          </w:tcPr>
          <w:p w14:paraId="025687D0" w14:textId="66E27105" w:rsidR="003D1C62" w:rsidRDefault="003D1C62" w:rsidP="003D1C62">
            <w:pPr>
              <w:spacing w:after="0"/>
              <w:rPr>
                <w:rFonts w:eastAsia="Malgun Gothic"/>
                <w:lang w:eastAsia="ko-KR"/>
              </w:rPr>
            </w:pPr>
            <w:r>
              <w:t>Intel</w:t>
            </w:r>
          </w:p>
        </w:tc>
        <w:tc>
          <w:tcPr>
            <w:tcW w:w="1170" w:type="dxa"/>
          </w:tcPr>
          <w:p w14:paraId="4CA4F175" w14:textId="1816AE9A" w:rsidR="003D1C62" w:rsidRDefault="003D1C62" w:rsidP="003D1C62">
            <w:pPr>
              <w:spacing w:after="0"/>
            </w:pPr>
            <w:r>
              <w:t>See comments</w:t>
            </w:r>
          </w:p>
        </w:tc>
        <w:tc>
          <w:tcPr>
            <w:tcW w:w="6205" w:type="dxa"/>
          </w:tcPr>
          <w:p w14:paraId="3934FEFF" w14:textId="77777777" w:rsidR="003D1C62" w:rsidRDefault="003D1C62" w:rsidP="003D1C62">
            <w:pPr>
              <w:spacing w:after="0"/>
            </w:pPr>
            <w:r>
              <w:t>The answer depends on PDCP operation upon trigger the abrupt termination of the SDT session and immediate initiation of the 2</w:t>
            </w:r>
            <w:r>
              <w:rPr>
                <w:vertAlign w:val="superscript"/>
              </w:rPr>
              <w:t>nd</w:t>
            </w:r>
            <w:r>
              <w:t xml:space="preserve"> resume procedure (discussed in previous Q.10)):</w:t>
            </w:r>
          </w:p>
          <w:p w14:paraId="7507C49D" w14:textId="77777777" w:rsidR="003D1C62" w:rsidRDefault="003D1C62" w:rsidP="003D1C62">
            <w:pPr>
              <w:pStyle w:val="a9"/>
              <w:numPr>
                <w:ilvl w:val="0"/>
                <w:numId w:val="56"/>
              </w:numPr>
              <w:spacing w:after="0" w:line="256" w:lineRule="auto"/>
            </w:pPr>
            <w:r>
              <w:t>For option 1.a) of Q10), i.e. PDCP suspend operation follows legacy suspend/resume, gNB does not need to know that UE had an ongoing SDT session. Same as  in legacy resume use, the I-RNTI is used by serving gNB to locate the anchor gNB and fetch the UE context. If serving gNB already had temporal copy of the UE context (from the previous ongoing SDT session), it can be left up to gNB implementation on how to handle it e.g. whether everything gets discarded or whether any of the stored data is re-used.</w:t>
            </w:r>
          </w:p>
          <w:p w14:paraId="6ECFE680" w14:textId="1BC87A47" w:rsidR="003D1C62" w:rsidRPr="003D1C62" w:rsidRDefault="003D1C62" w:rsidP="003D1C62">
            <w:pPr>
              <w:pStyle w:val="a9"/>
              <w:numPr>
                <w:ilvl w:val="0"/>
                <w:numId w:val="56"/>
              </w:numPr>
              <w:spacing w:after="0" w:line="256" w:lineRule="auto"/>
            </w:pPr>
            <w:r w:rsidRPr="003D1C62">
              <w:t>For option 1.b) of Q10), i.e. PDCP suspend operation is not done, gNB needs to differentiate that this UE had an ongoing SDT session that was terminated abruptly by UE and UE is requesting a immediate request to resume the connection in order to continue the data transmission in RRC_CONNECTED. This option 1.b) requires that network also knows that PDCP COUNT is not reset for this UE and that its buffered data is not discarded/flushed in order to minimize data loss and duplication as explained in previous Q10. How gNB differentiates this 2</w:t>
            </w:r>
            <w:r w:rsidRPr="003D1C62">
              <w:rPr>
                <w:vertAlign w:val="superscript"/>
              </w:rPr>
              <w:t>nd</w:t>
            </w:r>
            <w:r w:rsidRPr="003D1C62">
              <w:t xml:space="preserve"> </w:t>
            </w:r>
            <w:r w:rsidRPr="003D1C62">
              <w:rPr>
                <w:i/>
                <w:iCs/>
              </w:rPr>
              <w:t>RRCResumeRequest</w:t>
            </w:r>
            <w:r w:rsidRPr="003D1C62">
              <w:t xml:space="preserve"> msg is FFS.</w:t>
            </w:r>
          </w:p>
        </w:tc>
      </w:tr>
      <w:tr w:rsidR="00D56910" w14:paraId="6A9EBE84" w14:textId="77777777">
        <w:tc>
          <w:tcPr>
            <w:tcW w:w="1975" w:type="dxa"/>
          </w:tcPr>
          <w:p w14:paraId="39F2E246" w14:textId="3FA8FCE9" w:rsidR="00D56910" w:rsidRDefault="00D56910" w:rsidP="00D56910">
            <w:pPr>
              <w:spacing w:after="0"/>
            </w:pPr>
            <w:r>
              <w:rPr>
                <w:rFonts w:hint="eastAsia"/>
                <w:lang w:eastAsia="zh-CN"/>
              </w:rPr>
              <w:t>N</w:t>
            </w:r>
            <w:r>
              <w:rPr>
                <w:lang w:eastAsia="zh-CN"/>
              </w:rPr>
              <w:t>EC</w:t>
            </w:r>
          </w:p>
        </w:tc>
        <w:tc>
          <w:tcPr>
            <w:tcW w:w="1170" w:type="dxa"/>
          </w:tcPr>
          <w:p w14:paraId="35DF6D86" w14:textId="50FB56ED" w:rsidR="00D56910" w:rsidRDefault="00D56910" w:rsidP="00D56910">
            <w:pPr>
              <w:spacing w:after="0"/>
            </w:pPr>
            <w:r>
              <w:rPr>
                <w:rFonts w:hint="eastAsia"/>
                <w:lang w:eastAsia="zh-CN"/>
              </w:rPr>
              <w:t>No</w:t>
            </w:r>
          </w:p>
        </w:tc>
        <w:tc>
          <w:tcPr>
            <w:tcW w:w="6205" w:type="dxa"/>
          </w:tcPr>
          <w:p w14:paraId="57797C34" w14:textId="5542AB99" w:rsidR="00D56910" w:rsidRDefault="00D56910" w:rsidP="00D56910">
            <w:pPr>
              <w:spacing w:after="0"/>
            </w:pPr>
            <w:r>
              <w:t>There is no need for a new resume cause nor any other new indication w</w:t>
            </w:r>
            <w:r w:rsidRPr="00370C92">
              <w:t>hen switching from SDT to non-SDT via CCCH-based approach</w:t>
            </w:r>
            <w:r>
              <w:t>.</w:t>
            </w:r>
          </w:p>
        </w:tc>
      </w:tr>
    </w:tbl>
    <w:p w14:paraId="15B4B4E2" w14:textId="77777777" w:rsidR="00EA567C" w:rsidRDefault="00EA567C"/>
    <w:p w14:paraId="15B4B4E3" w14:textId="77777777" w:rsidR="00EA567C" w:rsidRDefault="00786B2D">
      <w:pPr>
        <w:pStyle w:val="3"/>
      </w:pPr>
      <w:bookmarkStart w:id="85" w:name="_Ref74945129"/>
      <w:r>
        <w:rPr>
          <w:lang w:val="en-US"/>
        </w:rPr>
        <w:lastRenderedPageBreak/>
        <w:t>[CCCH p</w:t>
      </w:r>
      <w:r>
        <w:t>oint (</w:t>
      </w:r>
      <w:r>
        <w:rPr>
          <w:lang w:val="en-US"/>
        </w:rPr>
        <w:t>4</w:t>
      </w:r>
      <w:r>
        <w:t>)</w:t>
      </w:r>
      <w:r>
        <w:rPr>
          <w:lang w:val="en-US"/>
        </w:rPr>
        <w:t>]</w:t>
      </w:r>
      <w:r>
        <w:t xml:space="preserve"> PDCP COUNT and/or security key</w:t>
      </w:r>
      <w:r>
        <w:rPr>
          <w:lang w:val="en-US"/>
        </w:rPr>
        <w:t xml:space="preserve"> to be used</w:t>
      </w:r>
      <w:bookmarkEnd w:id="85"/>
    </w:p>
    <w:p w14:paraId="15B4B4E4"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This section discusses the details of the 2</w:t>
      </w:r>
      <w:r>
        <w:rPr>
          <w:rFonts w:ascii="Times New Roman" w:hAnsi="Times New Roman" w:cs="Times New Roman"/>
          <w:sz w:val="20"/>
          <w:szCs w:val="20"/>
          <w:vertAlign w:val="superscript"/>
        </w:rPr>
        <w:t>nd</w:t>
      </w:r>
      <w:r>
        <w:rPr>
          <w:rFonts w:ascii="Times New Roman" w:hAnsi="Times New Roman" w:cs="Times New Roman"/>
          <w:sz w:val="20"/>
          <w:szCs w:val="20"/>
        </w:rPr>
        <w:t xml:space="preserve"> </w:t>
      </w:r>
      <w:r>
        <w:rPr>
          <w:rFonts w:ascii="Times New Roman" w:hAnsi="Times New Roman" w:cs="Times New Roman"/>
          <w:i/>
          <w:iCs/>
          <w:sz w:val="20"/>
          <w:szCs w:val="20"/>
        </w:rPr>
        <w:t>RRCResumeRequest</w:t>
      </w:r>
      <w:r>
        <w:rPr>
          <w:rFonts w:ascii="Times New Roman" w:hAnsi="Times New Roman" w:cs="Times New Roman"/>
          <w:sz w:val="20"/>
          <w:szCs w:val="20"/>
        </w:rPr>
        <w:t xml:space="preserve"> msg or the corresponding behaviour in UE and network side to support switching to non-SDT data during an ongoing SDT session for CCCH-based approach considering the inputs provided in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_Ref74088838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[4]</w:t>
      </w:r>
      <w:r>
        <w:rPr>
          <w:rFonts w:ascii="Times New Roman" w:hAnsi="Times New Roman" w:cs="Times New Roman"/>
          <w:sz w:val="20"/>
          <w:szCs w:val="20"/>
          <w:lang w:eastAsia="x-none"/>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_Ref74088756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[8]</w:t>
      </w:r>
      <w:r>
        <w:rPr>
          <w:rFonts w:ascii="Times New Roman" w:hAnsi="Times New Roman" w:cs="Times New Roman"/>
          <w:sz w:val="20"/>
          <w:szCs w:val="20"/>
          <w:lang w:eastAsia="x-none"/>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_Ref74088996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[9]</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_Ref74088986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_Ref74088974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[14]</w:t>
      </w:r>
      <w:r>
        <w:rPr>
          <w:rFonts w:ascii="Times New Roman" w:hAnsi="Times New Roman" w:cs="Times New Roman"/>
          <w:sz w:val="20"/>
          <w:szCs w:val="20"/>
        </w:rPr>
        <w:fldChar w:fldCharType="end"/>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_Ref74088868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[16]</w:t>
      </w:r>
      <w:r>
        <w:rPr>
          <w:rFonts w:ascii="Times New Roman" w:hAnsi="Times New Roman" w:cs="Times New Roman"/>
          <w:sz w:val="20"/>
          <w:szCs w:val="20"/>
          <w:lang w:eastAsia="x-none"/>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p w14:paraId="15B4B4E5"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References from legacy Resume/Suspend procedure are included below to show that the PDCP COUNT for all RBs are always reset. For example, this is done when </w:t>
      </w:r>
      <w:r>
        <w:rPr>
          <w:rFonts w:ascii="Times New Roman" w:hAnsi="Times New Roman" w:cs="Times New Roman"/>
          <w:i/>
          <w:iCs/>
          <w:sz w:val="20"/>
          <w:szCs w:val="20"/>
        </w:rPr>
        <w:t>RRCRelease</w:t>
      </w:r>
      <w:r>
        <w:rPr>
          <w:rFonts w:ascii="Times New Roman" w:hAnsi="Times New Roman" w:cs="Times New Roman"/>
          <w:sz w:val="20"/>
          <w:szCs w:val="20"/>
        </w:rPr>
        <w:t xml:space="preserve"> is received including </w:t>
      </w:r>
      <w:r>
        <w:rPr>
          <w:rFonts w:ascii="Times New Roman" w:hAnsi="Times New Roman" w:cs="Times New Roman"/>
          <w:i/>
          <w:iCs/>
          <w:sz w:val="20"/>
          <w:szCs w:val="20"/>
        </w:rPr>
        <w:t>suspendConfig</w:t>
      </w:r>
      <w:r>
        <w:rPr>
          <w:rFonts w:ascii="Times New Roman" w:hAnsi="Times New Roman" w:cs="Times New Roman"/>
          <w:sz w:val="20"/>
          <w:szCs w:val="20"/>
        </w:rPr>
        <w:t xml:space="preserve"> as shown below on the references taken from TS 38.331 § 5.3.8.3 and TS 38.331 § 5.1.4.</w:t>
      </w:r>
    </w:p>
    <w:p w14:paraId="15B4B4E6" w14:textId="77777777" w:rsidR="00EA567C" w:rsidRDefault="00786B2D">
      <w:pPr>
        <w:spacing w:after="0"/>
        <w:ind w:left="568"/>
        <w:jc w:val="both"/>
        <w:rPr>
          <w:rFonts w:ascii="Times New Roman" w:hAnsi="Times New Roman" w:cs="Times New Roman"/>
          <w:sz w:val="20"/>
          <w:szCs w:val="20"/>
        </w:rPr>
      </w:pPr>
      <w:r>
        <w:rPr>
          <w:rFonts w:ascii="Times New Roman" w:eastAsia="宋体" w:hAnsi="Times New Roman" w:cs="Times New Roman"/>
          <w:b/>
          <w:bCs/>
          <w:sz w:val="20"/>
          <w:szCs w:val="20"/>
        </w:rPr>
        <w:t>5.3.8.3</w:t>
      </w:r>
      <w:r>
        <w:rPr>
          <w:rFonts w:ascii="Times New Roman" w:eastAsia="宋体" w:hAnsi="Times New Roman" w:cs="Times New Roman"/>
          <w:b/>
          <w:bCs/>
          <w:sz w:val="20"/>
          <w:szCs w:val="20"/>
        </w:rPr>
        <w:tab/>
      </w:r>
      <w:bookmarkStart w:id="86" w:name="_Toc60776816"/>
      <w:bookmarkStart w:id="87" w:name="_Toc60867597"/>
      <w:r>
        <w:rPr>
          <w:rFonts w:ascii="Times New Roman" w:eastAsia="宋体" w:hAnsi="Times New Roman" w:cs="Times New Roman"/>
          <w:b/>
          <w:bCs/>
          <w:sz w:val="20"/>
          <w:szCs w:val="20"/>
        </w:rPr>
        <w:t>Reception of the RRCRelease by the UE</w:t>
      </w:r>
      <w:bookmarkEnd w:id="86"/>
      <w:bookmarkEnd w:id="87"/>
    </w:p>
    <w:p w14:paraId="15B4B4E7" w14:textId="77777777" w:rsidR="00EA567C" w:rsidRDefault="00786B2D">
      <w:pPr>
        <w:spacing w:after="0"/>
        <w:ind w:left="568"/>
        <w:jc w:val="both"/>
        <w:rPr>
          <w:rFonts w:ascii="Times New Roman" w:hAnsi="Times New Roman" w:cs="Times New Roman"/>
          <w:sz w:val="20"/>
          <w:szCs w:val="20"/>
        </w:rPr>
      </w:pPr>
      <w:r>
        <w:rPr>
          <w:rFonts w:ascii="Times New Roman" w:hAnsi="Times New Roman" w:cs="Times New Roman"/>
          <w:sz w:val="20"/>
          <w:szCs w:val="20"/>
        </w:rPr>
        <w:t>The UE shall:</w:t>
      </w:r>
    </w:p>
    <w:p w14:paraId="15B4B4E8" w14:textId="77777777" w:rsidR="00EA567C" w:rsidRDefault="00786B2D">
      <w:pPr>
        <w:spacing w:after="0"/>
        <w:ind w:left="852"/>
        <w:jc w:val="both"/>
        <w:rPr>
          <w:rFonts w:ascii="Times New Roman" w:hAnsi="Times New Roman" w:cs="Times New Roman"/>
          <w:i/>
          <w:iCs/>
          <w:color w:val="FF0000"/>
          <w:sz w:val="20"/>
          <w:szCs w:val="20"/>
        </w:rPr>
      </w:pPr>
      <w:r>
        <w:rPr>
          <w:rFonts w:ascii="Times New Roman" w:hAnsi="Times New Roman" w:cs="Times New Roman"/>
          <w:i/>
          <w:iCs/>
          <w:color w:val="FF0000"/>
          <w:sz w:val="20"/>
          <w:szCs w:val="20"/>
        </w:rPr>
        <w:t>***text omitted***</w:t>
      </w:r>
    </w:p>
    <w:p w14:paraId="15B4B4E9" w14:textId="77777777" w:rsidR="00EA567C" w:rsidRDefault="00786B2D">
      <w:pPr>
        <w:pStyle w:val="B1"/>
        <w:spacing w:after="0"/>
        <w:ind w:left="1136"/>
        <w:jc w:val="both"/>
        <w:rPr>
          <w:rFonts w:ascii="Times New Roman" w:hAnsi="Times New Roman" w:cs="Times New Roman"/>
          <w:sz w:val="20"/>
          <w:szCs w:val="20"/>
        </w:rPr>
      </w:pPr>
      <w:r>
        <w:rPr>
          <w:rFonts w:ascii="Times New Roman" w:hAnsi="Times New Roman" w:cs="Times New Roman"/>
          <w:sz w:val="20"/>
          <w:szCs w:val="20"/>
        </w:rPr>
        <w:t>1&gt;</w:t>
      </w:r>
      <w:r>
        <w:rPr>
          <w:rFonts w:ascii="Times New Roman" w:hAnsi="Times New Roman" w:cs="Times New Roman"/>
          <w:sz w:val="20"/>
          <w:szCs w:val="20"/>
        </w:rPr>
        <w:tab/>
      </w:r>
      <w:r>
        <w:rPr>
          <w:rFonts w:ascii="Times New Roman" w:hAnsi="Times New Roman" w:cs="Times New Roman"/>
          <w:sz w:val="20"/>
          <w:szCs w:val="20"/>
          <w:u w:val="single"/>
        </w:rPr>
        <w:t xml:space="preserve">if the </w:t>
      </w:r>
      <w:r>
        <w:rPr>
          <w:rFonts w:ascii="Times New Roman" w:hAnsi="Times New Roman" w:cs="Times New Roman"/>
          <w:i/>
          <w:sz w:val="20"/>
          <w:szCs w:val="20"/>
          <w:u w:val="single"/>
        </w:rPr>
        <w:t>RRCRelease</w:t>
      </w:r>
      <w:r>
        <w:rPr>
          <w:rFonts w:ascii="Times New Roman" w:hAnsi="Times New Roman" w:cs="Times New Roman"/>
          <w:sz w:val="20"/>
          <w:szCs w:val="20"/>
          <w:u w:val="single"/>
        </w:rPr>
        <w:t xml:space="preserve"> includes </w:t>
      </w:r>
      <w:r>
        <w:rPr>
          <w:rFonts w:ascii="Times New Roman" w:hAnsi="Times New Roman" w:cs="Times New Roman"/>
          <w:i/>
          <w:sz w:val="20"/>
          <w:szCs w:val="20"/>
          <w:u w:val="single"/>
        </w:rPr>
        <w:t>suspendConfig</w:t>
      </w:r>
      <w:r>
        <w:rPr>
          <w:rFonts w:ascii="Times New Roman" w:hAnsi="Times New Roman" w:cs="Times New Roman"/>
          <w:sz w:val="20"/>
          <w:szCs w:val="20"/>
        </w:rPr>
        <w:t>:</w:t>
      </w:r>
    </w:p>
    <w:p w14:paraId="15B4B4EA" w14:textId="77777777" w:rsidR="00EA567C" w:rsidRDefault="00786B2D">
      <w:pPr>
        <w:spacing w:after="0"/>
        <w:ind w:left="1135"/>
        <w:jc w:val="both"/>
        <w:rPr>
          <w:rFonts w:ascii="Times New Roman" w:hAnsi="Times New Roman" w:cs="Times New Roman"/>
          <w:i/>
          <w:iCs/>
          <w:color w:val="FF0000"/>
          <w:sz w:val="20"/>
          <w:szCs w:val="20"/>
        </w:rPr>
      </w:pPr>
      <w:r>
        <w:rPr>
          <w:rFonts w:ascii="Times New Roman" w:hAnsi="Times New Roman" w:cs="Times New Roman"/>
          <w:i/>
          <w:iCs/>
          <w:color w:val="FF0000"/>
          <w:sz w:val="20"/>
          <w:szCs w:val="20"/>
        </w:rPr>
        <w:t>***text omitted***</w:t>
      </w:r>
    </w:p>
    <w:p w14:paraId="15B4B4EB" w14:textId="77777777" w:rsidR="00EA567C" w:rsidRDefault="00786B2D">
      <w:pPr>
        <w:pStyle w:val="B2"/>
        <w:spacing w:after="0"/>
        <w:ind w:left="1419"/>
        <w:rPr>
          <w:sz w:val="20"/>
        </w:rPr>
      </w:pPr>
      <w:r>
        <w:rPr>
          <w:sz w:val="20"/>
        </w:rPr>
        <w:t>2&gt;</w:t>
      </w:r>
      <w:r>
        <w:rPr>
          <w:sz w:val="20"/>
        </w:rPr>
        <w:tab/>
      </w:r>
      <w:r>
        <w:rPr>
          <w:sz w:val="20"/>
          <w:highlight w:val="yellow"/>
          <w:u w:val="single"/>
        </w:rPr>
        <w:t>suspend all SRB(s) and DRB(s)</w:t>
      </w:r>
      <w:r>
        <w:rPr>
          <w:sz w:val="20"/>
        </w:rPr>
        <w:t>, except SRB0;</w:t>
      </w:r>
    </w:p>
    <w:p w14:paraId="15B4B4EC" w14:textId="77777777" w:rsidR="00EA567C" w:rsidRDefault="00786B2D">
      <w:pPr>
        <w:pStyle w:val="B2"/>
        <w:spacing w:after="0"/>
        <w:ind w:left="1419"/>
        <w:rPr>
          <w:sz w:val="20"/>
        </w:rPr>
      </w:pPr>
      <w:r>
        <w:rPr>
          <w:sz w:val="20"/>
        </w:rPr>
        <w:t>2&gt;</w:t>
      </w:r>
      <w:r>
        <w:rPr>
          <w:sz w:val="20"/>
        </w:rPr>
        <w:tab/>
      </w:r>
      <w:r>
        <w:rPr>
          <w:sz w:val="20"/>
          <w:highlight w:val="yellow"/>
          <w:u w:val="single"/>
        </w:rPr>
        <w:t>indicate PDCP suspend to lower layers of all DRBs</w:t>
      </w:r>
      <w:r>
        <w:rPr>
          <w:sz w:val="20"/>
        </w:rPr>
        <w:t>;</w:t>
      </w:r>
    </w:p>
    <w:p w14:paraId="15B4B4ED" w14:textId="77777777" w:rsidR="00EA567C" w:rsidRDefault="00786B2D">
      <w:pPr>
        <w:pStyle w:val="B2"/>
        <w:spacing w:after="0"/>
        <w:ind w:left="1419"/>
        <w:rPr>
          <w:sz w:val="20"/>
        </w:rPr>
      </w:pPr>
      <w:r>
        <w:rPr>
          <w:i/>
          <w:iCs/>
          <w:color w:val="FF0000"/>
          <w:sz w:val="20"/>
        </w:rPr>
        <w:t>***text omitted***</w:t>
      </w:r>
    </w:p>
    <w:p w14:paraId="15B4B4EE" w14:textId="77777777" w:rsidR="00EA567C" w:rsidRDefault="00EA567C">
      <w:pPr>
        <w:spacing w:after="0"/>
        <w:jc w:val="both"/>
        <w:rPr>
          <w:rFonts w:ascii="Times New Roman" w:hAnsi="Times New Roman" w:cs="Times New Roman"/>
          <w:sz w:val="20"/>
          <w:szCs w:val="20"/>
        </w:rPr>
      </w:pPr>
    </w:p>
    <w:p w14:paraId="15B4B4EF" w14:textId="77777777" w:rsidR="00EA567C" w:rsidRDefault="00786B2D">
      <w:pPr>
        <w:spacing w:after="0"/>
        <w:ind w:left="720"/>
        <w:jc w:val="both"/>
        <w:rPr>
          <w:rFonts w:ascii="Times New Roman" w:eastAsia="宋体" w:hAnsi="Times New Roman" w:cs="Times New Roman"/>
          <w:b/>
          <w:bCs/>
          <w:i/>
          <w:iCs/>
          <w:sz w:val="20"/>
          <w:szCs w:val="20"/>
          <w:lang w:eastAsia="ko-KR"/>
        </w:rPr>
      </w:pPr>
      <w:bookmarkStart w:id="88" w:name="_Toc12616333"/>
      <w:bookmarkStart w:id="89" w:name="_Toc37126944"/>
      <w:bookmarkStart w:id="90" w:name="_Toc46492057"/>
      <w:bookmarkStart w:id="91" w:name="_Toc46492165"/>
      <w:bookmarkStart w:id="92" w:name="_Toc52581955"/>
      <w:r>
        <w:rPr>
          <w:rFonts w:ascii="Times New Roman" w:eastAsia="宋体" w:hAnsi="Times New Roman" w:cs="Times New Roman"/>
          <w:b/>
          <w:bCs/>
          <w:i/>
          <w:iCs/>
          <w:sz w:val="20"/>
          <w:szCs w:val="20"/>
          <w:lang w:eastAsia="ko-KR"/>
        </w:rPr>
        <w:t>5.1.4</w:t>
      </w:r>
      <w:r>
        <w:rPr>
          <w:rFonts w:ascii="Times New Roman" w:eastAsia="宋体" w:hAnsi="Times New Roman" w:cs="Times New Roman"/>
          <w:b/>
          <w:bCs/>
          <w:i/>
          <w:iCs/>
          <w:sz w:val="20"/>
          <w:szCs w:val="20"/>
          <w:lang w:eastAsia="ko-KR"/>
        </w:rPr>
        <w:tab/>
      </w:r>
      <w:r>
        <w:rPr>
          <w:rFonts w:ascii="Times New Roman" w:eastAsia="宋体" w:hAnsi="Times New Roman" w:cs="Times New Roman"/>
          <w:b/>
          <w:bCs/>
          <w:i/>
          <w:iCs/>
          <w:sz w:val="20"/>
          <w:szCs w:val="20"/>
          <w:highlight w:val="yellow"/>
          <w:u w:val="single"/>
          <w:lang w:eastAsia="ko-KR"/>
        </w:rPr>
        <w:t>PDCP entity suspend</w:t>
      </w:r>
      <w:bookmarkEnd w:id="88"/>
      <w:bookmarkEnd w:id="89"/>
      <w:bookmarkEnd w:id="90"/>
      <w:bookmarkEnd w:id="91"/>
      <w:bookmarkEnd w:id="92"/>
    </w:p>
    <w:p w14:paraId="15B4B4F0" w14:textId="77777777" w:rsidR="00EA567C" w:rsidRDefault="00786B2D">
      <w:pPr>
        <w:spacing w:after="0"/>
        <w:ind w:left="720"/>
        <w:jc w:val="both"/>
        <w:rPr>
          <w:rFonts w:ascii="Times New Roman" w:hAnsi="Times New Roman" w:cs="Times New Roman"/>
          <w:i/>
          <w:iCs/>
          <w:sz w:val="20"/>
          <w:szCs w:val="20"/>
          <w:lang w:eastAsia="ko-KR"/>
        </w:rPr>
      </w:pPr>
      <w:r>
        <w:rPr>
          <w:rFonts w:ascii="Times New Roman" w:hAnsi="Times New Roman" w:cs="Times New Roman"/>
          <w:i/>
          <w:iCs/>
          <w:sz w:val="20"/>
          <w:szCs w:val="20"/>
          <w:lang w:eastAsia="ko-KR"/>
        </w:rPr>
        <w:t>When upper layers request a PDCP entity suspend, the transmitting PDCP entity shall:</w:t>
      </w:r>
    </w:p>
    <w:p w14:paraId="15B4B4F1" w14:textId="77777777" w:rsidR="00EA567C" w:rsidRDefault="00786B2D">
      <w:pPr>
        <w:spacing w:after="0"/>
        <w:ind w:left="1288"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r>
      <w:r>
        <w:rPr>
          <w:rFonts w:ascii="Times New Roman" w:eastAsia="Times New Roman" w:hAnsi="Times New Roman" w:cs="Times New Roman"/>
          <w:i/>
          <w:iCs/>
          <w:sz w:val="20"/>
          <w:szCs w:val="20"/>
          <w:highlight w:val="yellow"/>
          <w:u w:val="single"/>
          <w:lang w:eastAsia="ko-KR"/>
        </w:rPr>
        <w:t>set TX_NEXT to the initial value</w:t>
      </w:r>
      <w:r>
        <w:rPr>
          <w:rFonts w:ascii="Times New Roman" w:eastAsia="Times New Roman" w:hAnsi="Times New Roman" w:cs="Times New Roman"/>
          <w:i/>
          <w:iCs/>
          <w:sz w:val="20"/>
          <w:szCs w:val="20"/>
          <w:lang w:eastAsia="ko-KR"/>
        </w:rPr>
        <w:t>;</w:t>
      </w:r>
    </w:p>
    <w:p w14:paraId="15B4B4F2" w14:textId="77777777" w:rsidR="00EA567C" w:rsidRDefault="00786B2D">
      <w:pPr>
        <w:spacing w:after="0"/>
        <w:ind w:left="1288"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t>discard all stored PDCP PDUs;</w:t>
      </w:r>
    </w:p>
    <w:p w14:paraId="15B4B4F3" w14:textId="77777777" w:rsidR="00EA567C" w:rsidRDefault="00786B2D">
      <w:pPr>
        <w:spacing w:after="0"/>
        <w:ind w:left="720"/>
        <w:jc w:val="both"/>
        <w:rPr>
          <w:rFonts w:ascii="Times New Roman" w:hAnsi="Times New Roman" w:cs="Times New Roman"/>
          <w:i/>
          <w:iCs/>
          <w:sz w:val="20"/>
          <w:szCs w:val="20"/>
          <w:lang w:eastAsia="ko-KR"/>
        </w:rPr>
      </w:pPr>
      <w:r>
        <w:rPr>
          <w:rFonts w:ascii="Times New Roman" w:hAnsi="Times New Roman" w:cs="Times New Roman"/>
          <w:i/>
          <w:iCs/>
          <w:sz w:val="20"/>
          <w:szCs w:val="20"/>
          <w:lang w:eastAsia="ko-KR"/>
        </w:rPr>
        <w:t>When upper layers request a PDCP entity suspend, the receiving PDCP entity shall:</w:t>
      </w:r>
    </w:p>
    <w:p w14:paraId="15B4B4F4" w14:textId="77777777" w:rsidR="00EA567C" w:rsidRDefault="00786B2D">
      <w:pPr>
        <w:spacing w:after="0"/>
        <w:ind w:left="1288"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t>if t-Reordering is running:</w:t>
      </w:r>
    </w:p>
    <w:p w14:paraId="15B4B4F5" w14:textId="77777777" w:rsidR="00EA567C" w:rsidRDefault="00786B2D">
      <w:pPr>
        <w:spacing w:after="0"/>
        <w:ind w:left="1571"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t>stop and reset t-Reordering;</w:t>
      </w:r>
    </w:p>
    <w:p w14:paraId="15B4B4F6" w14:textId="77777777" w:rsidR="00EA567C" w:rsidRDefault="00786B2D">
      <w:pPr>
        <w:spacing w:after="0"/>
        <w:ind w:left="1571"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t>deliver all stored PDCP SDUs to the upper layers in ascending order of associated COUNT values after performing header decompression;</w:t>
      </w:r>
    </w:p>
    <w:p w14:paraId="15B4B4F7" w14:textId="77777777" w:rsidR="00EA567C" w:rsidRDefault="00786B2D">
      <w:pPr>
        <w:spacing w:after="0"/>
        <w:ind w:left="1288"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r>
      <w:r>
        <w:rPr>
          <w:rFonts w:ascii="Times New Roman" w:eastAsia="Times New Roman" w:hAnsi="Times New Roman" w:cs="Times New Roman"/>
          <w:i/>
          <w:iCs/>
          <w:sz w:val="20"/>
          <w:szCs w:val="20"/>
          <w:highlight w:val="yellow"/>
          <w:u w:val="single"/>
          <w:lang w:eastAsia="ko-KR"/>
        </w:rPr>
        <w:t>set RX_NEXT and RX_DELIV to the initial value</w:t>
      </w:r>
      <w:r>
        <w:rPr>
          <w:rFonts w:ascii="Times New Roman" w:eastAsia="Times New Roman" w:hAnsi="Times New Roman" w:cs="Times New Roman"/>
          <w:i/>
          <w:iCs/>
          <w:sz w:val="20"/>
          <w:szCs w:val="20"/>
          <w:lang w:eastAsia="ko-KR"/>
        </w:rPr>
        <w:t>.</w:t>
      </w:r>
    </w:p>
    <w:p w14:paraId="15B4B4F8" w14:textId="77777777" w:rsidR="00EA567C" w:rsidRDefault="00EA567C">
      <w:pPr>
        <w:spacing w:after="0"/>
        <w:ind w:left="1288" w:hanging="284"/>
        <w:jc w:val="both"/>
        <w:textAlignment w:val="baseline"/>
        <w:rPr>
          <w:rFonts w:ascii="Times New Roman" w:eastAsia="Times New Roman" w:hAnsi="Times New Roman" w:cs="Times New Roman"/>
          <w:i/>
          <w:iCs/>
          <w:sz w:val="20"/>
          <w:szCs w:val="20"/>
          <w:lang w:eastAsia="ko-KR"/>
        </w:rPr>
      </w:pPr>
    </w:p>
    <w:p w14:paraId="15B4B4F9"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Current Release with suspend and Resume Request procedure resets the PDCP COUNT for all RBs as shown above.  Since the CCCH method does not involve the RRC Release message, it is not clear if the COUNT for the RBs is reset for the second RRC Resume request.  </w:t>
      </w:r>
    </w:p>
    <w:p w14:paraId="15B4B4FA"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On summary, the handling of the PDCP COUNT and the security key when switching from SDT to non-SDT should be clarified for CCCH-based approach as explained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_Ref74088756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_Ref74089401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Therefore, CCCH-based approach requires some level of update to resume procedure considering the points here discussed.</w:t>
      </w:r>
    </w:p>
    <w:p w14:paraId="15B4B4FB" w14:textId="77777777" w:rsidR="00EA567C" w:rsidRDefault="00786B2D">
      <w:pPr>
        <w:pStyle w:val="a9"/>
        <w:numPr>
          <w:ilvl w:val="0"/>
          <w:numId w:val="6"/>
        </w:numPr>
        <w:spacing w:after="120"/>
        <w:ind w:left="360"/>
        <w:contextualSpacing w:val="0"/>
        <w:jc w:val="both"/>
        <w:rPr>
          <w:color w:val="A6A6A6" w:themeColor="background1" w:themeShade="A6"/>
        </w:rPr>
      </w:pPr>
      <w:bookmarkStart w:id="93" w:name="_Hlk75005852"/>
      <w:bookmarkStart w:id="94" w:name="_Ref74232964"/>
      <w:r>
        <w:rPr>
          <w:color w:val="A6A6A6" w:themeColor="background1" w:themeShade="A6"/>
        </w:rPr>
        <w:t>When switching from SDT to non-SDT via CCCH-based approach, understand whether the PDCP COUNT is (or not) reset</w:t>
      </w:r>
      <w:bookmarkEnd w:id="93"/>
      <w:r>
        <w:rPr>
          <w:color w:val="A6A6A6" w:themeColor="background1" w:themeShade="A6"/>
        </w:rPr>
        <w:t>.</w:t>
      </w:r>
      <w:bookmarkEnd w:id="94"/>
    </w:p>
    <w:p w14:paraId="15B4B4FC" w14:textId="77777777" w:rsidR="00EA567C" w:rsidRDefault="00786B2D">
      <w:pPr>
        <w:pStyle w:val="4"/>
        <w:rPr>
          <w:color w:val="0000CC"/>
        </w:rPr>
      </w:pPr>
      <w:r>
        <w:rPr>
          <w:color w:val="0000CC"/>
          <w:lang w:val="en-US"/>
        </w:rPr>
        <w:fldChar w:fldCharType="begin"/>
      </w:r>
      <w:r>
        <w:rPr>
          <w:color w:val="0000CC"/>
          <w:lang w:val="en-US"/>
        </w:rPr>
        <w:instrText xml:space="preserve"> REF _Ref75005904 \r \h </w:instrText>
      </w:r>
      <w:r>
        <w:rPr>
          <w:color w:val="0000CC"/>
          <w:lang w:val="en-US"/>
        </w:rPr>
      </w:r>
      <w:r>
        <w:rPr>
          <w:color w:val="0000CC"/>
          <w:lang w:val="en-US"/>
        </w:rPr>
        <w:fldChar w:fldCharType="separate"/>
      </w:r>
      <w:r>
        <w:rPr>
          <w:color w:val="0000CC"/>
          <w:lang w:val="en-US"/>
        </w:rPr>
        <w:t>Q.12)</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4FD"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_Ref75005904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Q.12)</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4FE" w14:textId="77777777" w:rsidR="00EA567C" w:rsidRDefault="00786B2D">
      <w:pPr>
        <w:pStyle w:val="a9"/>
        <w:numPr>
          <w:ilvl w:val="0"/>
          <w:numId w:val="30"/>
        </w:numPr>
        <w:overflowPunct/>
        <w:autoSpaceDE/>
        <w:autoSpaceDN/>
        <w:adjustRightInd/>
        <w:spacing w:after="120" w:line="259" w:lineRule="auto"/>
        <w:contextualSpacing w:val="0"/>
        <w:jc w:val="both"/>
        <w:rPr>
          <w:color w:val="0000CC"/>
        </w:rPr>
      </w:pPr>
      <w:bookmarkStart w:id="95" w:name="_Ref75005904"/>
      <w:r>
        <w:rPr>
          <w:color w:val="0000CC"/>
        </w:rPr>
        <w:t>When switching from SDT to non-SDT via CCCH-based approach, is the current behavior of resetting the PDCP count for RBs during the resume procedure applicable after the 2</w:t>
      </w:r>
      <w:r>
        <w:rPr>
          <w:color w:val="0000CC"/>
          <w:vertAlign w:val="superscript"/>
        </w:rPr>
        <w:t>nd</w:t>
      </w:r>
      <w:r>
        <w:rPr>
          <w:color w:val="0000CC"/>
        </w:rPr>
        <w:t xml:space="preserve"> </w:t>
      </w:r>
      <w:r>
        <w:rPr>
          <w:i/>
          <w:iCs/>
          <w:color w:val="0000CC"/>
        </w:rPr>
        <w:t>RRCResumeRequest</w:t>
      </w:r>
      <w:r>
        <w:rPr>
          <w:color w:val="0000CC"/>
        </w:rPr>
        <w:t xml:space="preserve"> msg?</w:t>
      </w:r>
      <w:bookmarkEnd w:id="95"/>
    </w:p>
    <w:tbl>
      <w:tblPr>
        <w:tblStyle w:val="ab"/>
        <w:tblW w:w="0" w:type="auto"/>
        <w:tblLook w:val="04A0" w:firstRow="1" w:lastRow="0" w:firstColumn="1" w:lastColumn="0" w:noHBand="0" w:noVBand="1"/>
      </w:tblPr>
      <w:tblGrid>
        <w:gridCol w:w="1975"/>
        <w:gridCol w:w="1170"/>
        <w:gridCol w:w="6205"/>
      </w:tblGrid>
      <w:tr w:rsidR="00EA567C" w14:paraId="15B4B502" w14:textId="77777777">
        <w:tc>
          <w:tcPr>
            <w:tcW w:w="1975" w:type="dxa"/>
            <w:shd w:val="clear" w:color="auto" w:fill="BFBFBF" w:themeFill="background1" w:themeFillShade="BF"/>
          </w:tcPr>
          <w:p w14:paraId="15B4B4FF"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500" w14:textId="77777777" w:rsidR="00EA567C" w:rsidRDefault="00786B2D">
            <w:pPr>
              <w:spacing w:after="0"/>
              <w:jc w:val="center"/>
              <w:rPr>
                <w:b/>
                <w:bCs/>
              </w:rPr>
            </w:pPr>
            <w:r>
              <w:rPr>
                <w:b/>
                <w:bCs/>
              </w:rPr>
              <w:t>Yes/No</w:t>
            </w:r>
          </w:p>
        </w:tc>
        <w:tc>
          <w:tcPr>
            <w:tcW w:w="6205" w:type="dxa"/>
            <w:shd w:val="clear" w:color="auto" w:fill="BFBFBF" w:themeFill="background1" w:themeFillShade="BF"/>
          </w:tcPr>
          <w:p w14:paraId="15B4B501" w14:textId="77777777" w:rsidR="00EA567C" w:rsidRDefault="00786B2D">
            <w:pPr>
              <w:spacing w:after="0"/>
              <w:jc w:val="center"/>
              <w:rPr>
                <w:b/>
                <w:bCs/>
              </w:rPr>
            </w:pPr>
            <w:r>
              <w:rPr>
                <w:b/>
                <w:bCs/>
              </w:rPr>
              <w:t>Justification</w:t>
            </w:r>
          </w:p>
        </w:tc>
      </w:tr>
      <w:tr w:rsidR="00EA567C" w14:paraId="15B4B506" w14:textId="77777777">
        <w:tc>
          <w:tcPr>
            <w:tcW w:w="1975" w:type="dxa"/>
          </w:tcPr>
          <w:p w14:paraId="15B4B503" w14:textId="77777777" w:rsidR="00EA567C" w:rsidRDefault="00786B2D">
            <w:pPr>
              <w:spacing w:after="0"/>
            </w:pPr>
            <w:r>
              <w:t>Huawei, HiSilicon</w:t>
            </w:r>
          </w:p>
        </w:tc>
        <w:tc>
          <w:tcPr>
            <w:tcW w:w="1170" w:type="dxa"/>
          </w:tcPr>
          <w:p w14:paraId="15B4B504" w14:textId="77777777" w:rsidR="00EA567C" w:rsidRDefault="00786B2D">
            <w:pPr>
              <w:spacing w:after="0"/>
            </w:pPr>
            <w:r>
              <w:t>OK to reuse</w:t>
            </w:r>
          </w:p>
        </w:tc>
        <w:tc>
          <w:tcPr>
            <w:tcW w:w="6205" w:type="dxa"/>
          </w:tcPr>
          <w:p w14:paraId="15B4B505" w14:textId="77777777" w:rsidR="00EA567C" w:rsidRDefault="00786B2D">
            <w:pPr>
              <w:spacing w:after="0"/>
            </w:pPr>
            <w:r>
              <w:t>We are OK to reuse this behaviour, but this would require applying either option 1c) mentioned for Q10 or requiring the network to update the security keys right after the connection is resumed, i.e. when the UE is already in RRC_CONNECTED state, but before transmits/receives any data.</w:t>
            </w:r>
          </w:p>
        </w:tc>
      </w:tr>
      <w:tr w:rsidR="00EA567C" w14:paraId="15B4B50F" w14:textId="77777777">
        <w:trPr>
          <w:trHeight w:val="43"/>
        </w:trPr>
        <w:tc>
          <w:tcPr>
            <w:tcW w:w="1975" w:type="dxa"/>
          </w:tcPr>
          <w:p w14:paraId="15B4B507" w14:textId="77777777" w:rsidR="00EA567C" w:rsidRDefault="00786B2D">
            <w:pPr>
              <w:spacing w:after="0"/>
            </w:pPr>
            <w:r>
              <w:lastRenderedPageBreak/>
              <w:t>ZTE</w:t>
            </w:r>
          </w:p>
        </w:tc>
        <w:tc>
          <w:tcPr>
            <w:tcW w:w="1170" w:type="dxa"/>
          </w:tcPr>
          <w:p w14:paraId="15B4B508" w14:textId="77777777" w:rsidR="00EA567C" w:rsidRDefault="00786B2D">
            <w:pPr>
              <w:spacing w:after="0"/>
            </w:pPr>
            <w:r>
              <w:t xml:space="preserve">Yes, </w:t>
            </w:r>
          </w:p>
          <w:p w14:paraId="15B4B509" w14:textId="77777777" w:rsidR="00EA567C" w:rsidRDefault="00786B2D">
            <w:pPr>
              <w:spacing w:after="0"/>
            </w:pPr>
            <w:r>
              <w:t xml:space="preserve">but with new key only </w:t>
            </w:r>
          </w:p>
        </w:tc>
        <w:tc>
          <w:tcPr>
            <w:tcW w:w="6205" w:type="dxa"/>
          </w:tcPr>
          <w:p w14:paraId="15B4B50A" w14:textId="77777777" w:rsidR="00EA567C" w:rsidRDefault="00786B2D">
            <w:pPr>
              <w:spacing w:after="0"/>
            </w:pPr>
            <w:r>
              <w:t xml:space="preserve">According to the current procedure, PDCP count will be reset but this means: </w:t>
            </w:r>
          </w:p>
          <w:p w14:paraId="15B4B50B" w14:textId="77777777" w:rsidR="00EA567C" w:rsidRDefault="00786B2D">
            <w:pPr>
              <w:pStyle w:val="a9"/>
              <w:numPr>
                <w:ilvl w:val="0"/>
                <w:numId w:val="8"/>
              </w:numPr>
              <w:spacing w:after="0"/>
            </w:pPr>
            <w:r>
              <w:t>New key is derived at the UE using Horizontal key derviation for second RRCResume (note this either needs new indication in the second RRCResume per above)</w:t>
            </w:r>
          </w:p>
          <w:p w14:paraId="15B4B50C" w14:textId="77777777" w:rsidR="00EA567C" w:rsidRDefault="00786B2D">
            <w:pPr>
              <w:pStyle w:val="a9"/>
              <w:numPr>
                <w:ilvl w:val="0"/>
                <w:numId w:val="8"/>
              </w:numPr>
              <w:spacing w:after="0"/>
            </w:pPr>
            <w:r>
              <w:t xml:space="preserve"> Since PDCP count is reset, we need new solution to ensure lossless data (i.e. in order delivery without redundancy).  </w:t>
            </w:r>
          </w:p>
          <w:p w14:paraId="15B4B50D" w14:textId="77777777" w:rsidR="00EA567C" w:rsidRDefault="00EA567C">
            <w:pPr>
              <w:spacing w:after="0"/>
            </w:pPr>
          </w:p>
          <w:p w14:paraId="15B4B50E" w14:textId="77777777" w:rsidR="00EA567C" w:rsidRDefault="00786B2D">
            <w:pPr>
              <w:spacing w:after="0"/>
            </w:pPr>
            <w:r>
              <w:t xml:space="preserve">For DCCH solution, no new key is needed and PDCP count will simply continue. </w:t>
            </w:r>
          </w:p>
        </w:tc>
      </w:tr>
      <w:tr w:rsidR="00EA567C" w14:paraId="15B4B513" w14:textId="77777777">
        <w:tc>
          <w:tcPr>
            <w:tcW w:w="1975" w:type="dxa"/>
          </w:tcPr>
          <w:p w14:paraId="15B4B510" w14:textId="77777777" w:rsidR="00EA567C" w:rsidRDefault="00786B2D">
            <w:pPr>
              <w:spacing w:after="0"/>
            </w:pPr>
            <w:r>
              <w:t>InterDigital</w:t>
            </w:r>
          </w:p>
        </w:tc>
        <w:tc>
          <w:tcPr>
            <w:tcW w:w="1170" w:type="dxa"/>
          </w:tcPr>
          <w:p w14:paraId="15B4B511" w14:textId="77777777" w:rsidR="00EA567C" w:rsidRDefault="00786B2D">
            <w:pPr>
              <w:spacing w:after="0"/>
            </w:pPr>
            <w:r>
              <w:t>Depend-on new key derivation</w:t>
            </w:r>
          </w:p>
        </w:tc>
        <w:tc>
          <w:tcPr>
            <w:tcW w:w="6205" w:type="dxa"/>
          </w:tcPr>
          <w:p w14:paraId="15B4B512" w14:textId="77777777" w:rsidR="00EA567C" w:rsidRDefault="00786B2D">
            <w:pPr>
              <w:spacing w:after="0"/>
            </w:pPr>
            <w:r>
              <w:t>COUNT can be reset only when a new key is applied and so it’s up to the key handling during the switch. If any new keys are derived during the switch, then COUNT should be reset. Otherwise, COUNT value should be retained.</w:t>
            </w:r>
          </w:p>
        </w:tc>
      </w:tr>
      <w:tr w:rsidR="00EA567C" w14:paraId="15B4B517" w14:textId="77777777">
        <w:tc>
          <w:tcPr>
            <w:tcW w:w="1975" w:type="dxa"/>
          </w:tcPr>
          <w:p w14:paraId="15B4B514" w14:textId="77777777" w:rsidR="00EA567C" w:rsidRDefault="00786B2D">
            <w:pPr>
              <w:spacing w:after="0"/>
            </w:pPr>
            <w:r>
              <w:t>CATT</w:t>
            </w:r>
          </w:p>
        </w:tc>
        <w:tc>
          <w:tcPr>
            <w:tcW w:w="1170" w:type="dxa"/>
          </w:tcPr>
          <w:p w14:paraId="15B4B515" w14:textId="77777777" w:rsidR="00EA567C" w:rsidRDefault="00786B2D">
            <w:pPr>
              <w:spacing w:after="0"/>
            </w:pPr>
            <w:r>
              <w:t>Yes</w:t>
            </w:r>
          </w:p>
        </w:tc>
        <w:tc>
          <w:tcPr>
            <w:tcW w:w="6205" w:type="dxa"/>
          </w:tcPr>
          <w:p w14:paraId="15B4B516" w14:textId="77777777" w:rsidR="00EA567C" w:rsidRDefault="00786B2D">
            <w:pPr>
              <w:spacing w:after="0"/>
            </w:pPr>
            <w:r>
              <w:t>Reusing the existing behavior is preferred.</w:t>
            </w:r>
          </w:p>
        </w:tc>
      </w:tr>
      <w:tr w:rsidR="00EA567C" w14:paraId="15B4B51B" w14:textId="77777777">
        <w:tc>
          <w:tcPr>
            <w:tcW w:w="1975" w:type="dxa"/>
          </w:tcPr>
          <w:p w14:paraId="15B4B518" w14:textId="77777777" w:rsidR="00EA567C" w:rsidRDefault="00786B2D">
            <w:pPr>
              <w:spacing w:after="0"/>
            </w:pPr>
            <w:r>
              <w:rPr>
                <w:rFonts w:eastAsiaTheme="minorEastAsia" w:hint="eastAsia"/>
              </w:rPr>
              <w:t>Samsung</w:t>
            </w:r>
          </w:p>
        </w:tc>
        <w:tc>
          <w:tcPr>
            <w:tcW w:w="1170" w:type="dxa"/>
          </w:tcPr>
          <w:p w14:paraId="15B4B519" w14:textId="77777777" w:rsidR="00EA567C" w:rsidRDefault="00786B2D">
            <w:pPr>
              <w:spacing w:after="0"/>
            </w:pPr>
            <w:r>
              <w:rPr>
                <w:rFonts w:eastAsiaTheme="minorEastAsia" w:hint="eastAsia"/>
              </w:rPr>
              <w:t>See comments</w:t>
            </w:r>
          </w:p>
        </w:tc>
        <w:tc>
          <w:tcPr>
            <w:tcW w:w="6205" w:type="dxa"/>
          </w:tcPr>
          <w:p w14:paraId="15B4B51A" w14:textId="77777777" w:rsidR="00EA567C" w:rsidRDefault="00786B2D">
            <w:pPr>
              <w:spacing w:after="0"/>
            </w:pPr>
            <w:r>
              <w:rPr>
                <w:rFonts w:eastAsiaTheme="minorEastAsia"/>
              </w:rPr>
              <w:t>I</w:t>
            </w:r>
            <w:r>
              <w:rPr>
                <w:rFonts w:eastAsiaTheme="minorEastAsia" w:hint="eastAsia"/>
              </w:rPr>
              <w:t xml:space="preserve">f </w:t>
            </w:r>
            <w:r>
              <w:rPr>
                <w:rFonts w:eastAsiaTheme="minorEastAsia"/>
              </w:rPr>
              <w:t>key is not changed, COUNT should not be reset.</w:t>
            </w:r>
          </w:p>
        </w:tc>
      </w:tr>
      <w:tr w:rsidR="00EA567C" w14:paraId="15B4B51F" w14:textId="77777777">
        <w:tc>
          <w:tcPr>
            <w:tcW w:w="1975" w:type="dxa"/>
          </w:tcPr>
          <w:p w14:paraId="15B4B51C" w14:textId="77777777" w:rsidR="00EA567C" w:rsidRDefault="00786B2D">
            <w:pPr>
              <w:spacing w:after="0"/>
              <w:rPr>
                <w:rFonts w:eastAsiaTheme="minorEastAsia"/>
              </w:rPr>
            </w:pPr>
            <w:r>
              <w:rPr>
                <w:rFonts w:eastAsiaTheme="minorEastAsia" w:hint="eastAsia"/>
              </w:rPr>
              <w:t>Fujitsu</w:t>
            </w:r>
          </w:p>
        </w:tc>
        <w:tc>
          <w:tcPr>
            <w:tcW w:w="1170" w:type="dxa"/>
          </w:tcPr>
          <w:p w14:paraId="15B4B51D" w14:textId="77777777" w:rsidR="00EA567C" w:rsidRDefault="00786B2D">
            <w:pPr>
              <w:spacing w:after="0"/>
              <w:rPr>
                <w:rFonts w:eastAsiaTheme="minorEastAsia"/>
              </w:rPr>
            </w:pPr>
            <w:r>
              <w:rPr>
                <w:rFonts w:eastAsiaTheme="minorEastAsia" w:hint="eastAsia"/>
              </w:rPr>
              <w:t>Yes</w:t>
            </w:r>
          </w:p>
        </w:tc>
        <w:tc>
          <w:tcPr>
            <w:tcW w:w="6205" w:type="dxa"/>
          </w:tcPr>
          <w:p w14:paraId="15B4B51E" w14:textId="77777777" w:rsidR="00EA567C" w:rsidRDefault="00786B2D">
            <w:pPr>
              <w:spacing w:after="0"/>
              <w:rPr>
                <w:rFonts w:eastAsiaTheme="minorEastAsia"/>
              </w:rPr>
            </w:pPr>
            <w:r>
              <w:rPr>
                <w:rFonts w:eastAsiaTheme="minorEastAsia" w:hint="eastAsia"/>
              </w:rPr>
              <w:t>We think that the starting point is the legacy behaviour.</w:t>
            </w:r>
          </w:p>
        </w:tc>
      </w:tr>
      <w:tr w:rsidR="00EA567C" w14:paraId="15B4B524" w14:textId="77777777">
        <w:tc>
          <w:tcPr>
            <w:tcW w:w="1975" w:type="dxa"/>
          </w:tcPr>
          <w:p w14:paraId="15B4B520"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521" w14:textId="77777777" w:rsidR="00EA567C" w:rsidRDefault="00786B2D">
            <w:pPr>
              <w:spacing w:after="0"/>
              <w:rPr>
                <w:rFonts w:eastAsia="Malgun Gothic"/>
                <w:lang w:eastAsia="ko-KR"/>
              </w:rPr>
            </w:pPr>
            <w:r>
              <w:rPr>
                <w:rFonts w:eastAsia="Malgun Gothic" w:hint="eastAsia"/>
                <w:lang w:eastAsia="ko-KR"/>
              </w:rPr>
              <w:t>No</w:t>
            </w:r>
          </w:p>
        </w:tc>
        <w:tc>
          <w:tcPr>
            <w:tcW w:w="6205" w:type="dxa"/>
          </w:tcPr>
          <w:p w14:paraId="15B4B522" w14:textId="77777777" w:rsidR="00EA567C" w:rsidRDefault="00786B2D">
            <w:pPr>
              <w:spacing w:after="0"/>
              <w:rPr>
                <w:rFonts w:eastAsia="Malgun Gothic"/>
                <w:lang w:eastAsia="ko-KR"/>
              </w:rPr>
            </w:pPr>
            <w:r>
              <w:rPr>
                <w:rFonts w:eastAsia="Malgun Gothic" w:hint="eastAsia"/>
                <w:lang w:eastAsia="ko-KR"/>
              </w:rPr>
              <w:t xml:space="preserve">We think current behavior is not to reset PDCP </w:t>
            </w:r>
            <w:r>
              <w:rPr>
                <w:rFonts w:eastAsia="Malgun Gothic"/>
                <w:lang w:eastAsia="ko-KR"/>
              </w:rPr>
              <w:t>count when initiating normal RRCResume procedure. The PDCP entity resets PDCP count values when PDCP suspend is requested by RRC, and the RRC requests PDCP suspend when the RRCRelease message is received. As there is no RRCRelease message received in this case, PDCP suspend is not performed, and thus PDCP count values are not reset according to current specification.</w:t>
            </w:r>
          </w:p>
          <w:p w14:paraId="15B4B523" w14:textId="77777777" w:rsidR="00EA567C" w:rsidRDefault="00786B2D">
            <w:pPr>
              <w:spacing w:after="0"/>
              <w:rPr>
                <w:rFonts w:eastAsia="Malgun Gothic"/>
                <w:lang w:eastAsia="ko-KR"/>
              </w:rPr>
            </w:pPr>
            <w:r>
              <w:rPr>
                <w:rFonts w:eastAsia="Malgun Gothic"/>
                <w:lang w:eastAsia="ko-KR"/>
              </w:rPr>
              <w:t>And we don’t see any problem with not resetting the PDCP count values at initiating normal RRCResume procedure.</w:t>
            </w:r>
          </w:p>
        </w:tc>
      </w:tr>
      <w:tr w:rsidR="00EA2B92" w14:paraId="6AF318F0" w14:textId="77777777">
        <w:tc>
          <w:tcPr>
            <w:tcW w:w="1975" w:type="dxa"/>
          </w:tcPr>
          <w:p w14:paraId="6DA62C6B" w14:textId="0AD0CCF8" w:rsidR="00EA2B92" w:rsidRDefault="00EA2B92" w:rsidP="00EA2B92">
            <w:pPr>
              <w:spacing w:after="0"/>
              <w:rPr>
                <w:rFonts w:eastAsia="Malgun Gothic"/>
                <w:lang w:eastAsia="ko-KR"/>
              </w:rPr>
            </w:pPr>
            <w:r>
              <w:t>Intel</w:t>
            </w:r>
          </w:p>
        </w:tc>
        <w:tc>
          <w:tcPr>
            <w:tcW w:w="1170" w:type="dxa"/>
          </w:tcPr>
          <w:p w14:paraId="1B02E754" w14:textId="0754088F" w:rsidR="00EA2B92" w:rsidRDefault="00EA2B92" w:rsidP="00EA2B92">
            <w:pPr>
              <w:spacing w:after="0"/>
              <w:rPr>
                <w:rFonts w:eastAsia="Malgun Gothic"/>
                <w:lang w:eastAsia="ko-KR"/>
              </w:rPr>
            </w:pPr>
            <w:r>
              <w:t>See comments</w:t>
            </w:r>
          </w:p>
        </w:tc>
        <w:tc>
          <w:tcPr>
            <w:tcW w:w="6205" w:type="dxa"/>
          </w:tcPr>
          <w:p w14:paraId="3DD90DD9" w14:textId="77777777" w:rsidR="00EA2B92" w:rsidRDefault="00EA2B92" w:rsidP="00EA2B92">
            <w:pPr>
              <w:spacing w:after="0"/>
            </w:pPr>
            <w:r>
              <w:t>Current NR operation always associates PDCP suspension with the reset of the PDCP COUNT. However currently it is considered whether this may not be the case for SDT operation.</w:t>
            </w:r>
          </w:p>
          <w:p w14:paraId="4AF504A4" w14:textId="77777777" w:rsidR="00EA2B92" w:rsidRDefault="00EA2B92" w:rsidP="00EA2B92">
            <w:pPr>
              <w:spacing w:after="0"/>
            </w:pPr>
            <w:r>
              <w:t>In our understanding, the 2nd resume procedure can potentially be enabled via both approaches considering the corresponding implications and/or limitations summarized in table below.</w:t>
            </w:r>
          </w:p>
          <w:tbl>
            <w:tblPr>
              <w:tblStyle w:val="ab"/>
              <w:tblW w:w="5616" w:type="dxa"/>
              <w:tblInd w:w="360" w:type="dxa"/>
              <w:tblLook w:val="04A0" w:firstRow="1" w:lastRow="0" w:firstColumn="1" w:lastColumn="0" w:noHBand="0" w:noVBand="1"/>
            </w:tblPr>
            <w:tblGrid>
              <w:gridCol w:w="1778"/>
              <w:gridCol w:w="1710"/>
              <w:gridCol w:w="2128"/>
            </w:tblGrid>
            <w:tr w:rsidR="00EA2B92" w14:paraId="46DD2665" w14:textId="77777777" w:rsidTr="00D40E3B">
              <w:tc>
                <w:tcPr>
                  <w:tcW w:w="17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BFD402" w14:textId="77777777" w:rsidR="00EA2B92" w:rsidRDefault="00EA2B92" w:rsidP="00EA2B92">
                  <w:pPr>
                    <w:spacing w:after="0"/>
                    <w:rPr>
                      <w:b/>
                      <w:bCs/>
                    </w:rPr>
                  </w:pPr>
                  <w:r>
                    <w:rPr>
                      <w:b/>
                      <w:bCs/>
                    </w:rPr>
                    <w:t>When switching from SDT to non-SDT via CCCH-based approach</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350EB1" w14:textId="77777777" w:rsidR="00EA2B92" w:rsidRDefault="00EA2B92" w:rsidP="00EA2B92">
                  <w:pPr>
                    <w:spacing w:after="0"/>
                    <w:jc w:val="center"/>
                    <w:rPr>
                      <w:b/>
                      <w:bCs/>
                    </w:rPr>
                  </w:pPr>
                  <w:r>
                    <w:rPr>
                      <w:b/>
                      <w:bCs/>
                    </w:rPr>
                    <w:t>PROS</w:t>
                  </w:r>
                </w:p>
              </w:tc>
              <w:tc>
                <w:tcPr>
                  <w:tcW w:w="21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817E76" w14:textId="77777777" w:rsidR="00EA2B92" w:rsidRDefault="00EA2B92" w:rsidP="00EA2B92">
                  <w:pPr>
                    <w:spacing w:after="0"/>
                    <w:jc w:val="center"/>
                    <w:rPr>
                      <w:b/>
                      <w:bCs/>
                    </w:rPr>
                  </w:pPr>
                  <w:r>
                    <w:rPr>
                      <w:b/>
                      <w:bCs/>
                    </w:rPr>
                    <w:t>CONS</w:t>
                  </w:r>
                </w:p>
              </w:tc>
            </w:tr>
            <w:tr w:rsidR="00EA2B92" w14:paraId="5DCFF4D2" w14:textId="77777777">
              <w:tc>
                <w:tcPr>
                  <w:tcW w:w="1778" w:type="dxa"/>
                  <w:tcBorders>
                    <w:top w:val="single" w:sz="4" w:space="0" w:color="auto"/>
                    <w:left w:val="single" w:sz="4" w:space="0" w:color="auto"/>
                    <w:bottom w:val="single" w:sz="4" w:space="0" w:color="auto"/>
                    <w:right w:val="single" w:sz="4" w:space="0" w:color="auto"/>
                  </w:tcBorders>
                  <w:hideMark/>
                </w:tcPr>
                <w:p w14:paraId="2D16CD01" w14:textId="77777777" w:rsidR="00EA2B92" w:rsidRDefault="00EA2B92" w:rsidP="00EA2B92">
                  <w:pPr>
                    <w:spacing w:after="0"/>
                    <w:rPr>
                      <w:b/>
                      <w:bCs/>
                    </w:rPr>
                  </w:pPr>
                  <w:r>
                    <w:rPr>
                      <w:b/>
                      <w:bCs/>
                    </w:rPr>
                    <w:t>A) PDCP COUNT is reset</w:t>
                  </w:r>
                </w:p>
              </w:tc>
              <w:tc>
                <w:tcPr>
                  <w:tcW w:w="1710" w:type="dxa"/>
                  <w:tcBorders>
                    <w:top w:val="single" w:sz="4" w:space="0" w:color="auto"/>
                    <w:left w:val="single" w:sz="4" w:space="0" w:color="auto"/>
                    <w:bottom w:val="single" w:sz="4" w:space="0" w:color="auto"/>
                    <w:right w:val="single" w:sz="4" w:space="0" w:color="auto"/>
                  </w:tcBorders>
                  <w:hideMark/>
                </w:tcPr>
                <w:p w14:paraId="5EC370CF" w14:textId="77777777" w:rsidR="00EA2B92" w:rsidRDefault="00EA2B92" w:rsidP="00EA2B92">
                  <w:pPr>
                    <w:spacing w:after="0"/>
                  </w:pPr>
                  <w:r>
                    <w:t>Minimal impact (as it is similar to current suspend/resume proc.)</w:t>
                  </w:r>
                </w:p>
              </w:tc>
              <w:tc>
                <w:tcPr>
                  <w:tcW w:w="2128" w:type="dxa"/>
                  <w:tcBorders>
                    <w:top w:val="single" w:sz="4" w:space="0" w:color="auto"/>
                    <w:left w:val="single" w:sz="4" w:space="0" w:color="auto"/>
                    <w:bottom w:val="single" w:sz="4" w:space="0" w:color="auto"/>
                    <w:right w:val="single" w:sz="4" w:space="0" w:color="auto"/>
                  </w:tcBorders>
                </w:tcPr>
                <w:p w14:paraId="0ACBA00D" w14:textId="77777777" w:rsidR="00EA2B92" w:rsidRDefault="00EA2B92" w:rsidP="00EA2B92">
                  <w:pPr>
                    <w:spacing w:after="0"/>
                  </w:pPr>
                  <w:r>
                    <w:t xml:space="preserve">Data duplication of data sent during the SDT session and after getting CONNECTED </w:t>
                  </w:r>
                  <w:r>
                    <w:rPr>
                      <w:u w:val="single"/>
                    </w:rPr>
                    <w:t>cannot</w:t>
                  </w:r>
                  <w:r>
                    <w:t xml:space="preserve"> be detected.</w:t>
                  </w:r>
                </w:p>
                <w:p w14:paraId="40C7C6F3" w14:textId="77777777" w:rsidR="00EA2B92" w:rsidRDefault="00EA2B92" w:rsidP="00EA2B92">
                  <w:pPr>
                    <w:spacing w:after="0"/>
                  </w:pPr>
                </w:p>
                <w:p w14:paraId="4B2822E8" w14:textId="77777777" w:rsidR="00EA2B92" w:rsidRDefault="00EA2B92" w:rsidP="00EA2B92">
                  <w:pPr>
                    <w:spacing w:after="0"/>
                  </w:pPr>
                  <w:r>
                    <w:t>Security related concerns need to be addressed as discussed in next questions (SA3 dependencies)</w:t>
                  </w:r>
                </w:p>
              </w:tc>
            </w:tr>
            <w:tr w:rsidR="00EA2B92" w14:paraId="3BAD54C5" w14:textId="77777777">
              <w:tc>
                <w:tcPr>
                  <w:tcW w:w="1778" w:type="dxa"/>
                  <w:tcBorders>
                    <w:top w:val="single" w:sz="4" w:space="0" w:color="auto"/>
                    <w:left w:val="single" w:sz="4" w:space="0" w:color="auto"/>
                    <w:bottom w:val="single" w:sz="4" w:space="0" w:color="auto"/>
                    <w:right w:val="single" w:sz="4" w:space="0" w:color="auto"/>
                  </w:tcBorders>
                  <w:hideMark/>
                </w:tcPr>
                <w:p w14:paraId="0DF014A1" w14:textId="77777777" w:rsidR="00EA2B92" w:rsidRDefault="00EA2B92" w:rsidP="00EA2B92">
                  <w:pPr>
                    <w:spacing w:after="0"/>
                    <w:rPr>
                      <w:b/>
                      <w:bCs/>
                    </w:rPr>
                  </w:pPr>
                  <w:r>
                    <w:rPr>
                      <w:b/>
                      <w:bCs/>
                    </w:rPr>
                    <w:t>B) PDCP COUNT continues (i.e. not reset)</w:t>
                  </w:r>
                </w:p>
              </w:tc>
              <w:tc>
                <w:tcPr>
                  <w:tcW w:w="1710" w:type="dxa"/>
                  <w:tcBorders>
                    <w:top w:val="single" w:sz="4" w:space="0" w:color="auto"/>
                    <w:left w:val="single" w:sz="4" w:space="0" w:color="auto"/>
                    <w:bottom w:val="single" w:sz="4" w:space="0" w:color="auto"/>
                    <w:right w:val="single" w:sz="4" w:space="0" w:color="auto"/>
                  </w:tcBorders>
                  <w:hideMark/>
                </w:tcPr>
                <w:p w14:paraId="4E540D06" w14:textId="77777777" w:rsidR="00EA2B92" w:rsidRDefault="00EA2B92" w:rsidP="00EA2B92">
                  <w:pPr>
                    <w:spacing w:after="0"/>
                  </w:pPr>
                  <w:r>
                    <w:t xml:space="preserve">Some impact (as it is a new operation) </w:t>
                  </w:r>
                </w:p>
              </w:tc>
              <w:tc>
                <w:tcPr>
                  <w:tcW w:w="2128" w:type="dxa"/>
                  <w:tcBorders>
                    <w:top w:val="single" w:sz="4" w:space="0" w:color="auto"/>
                    <w:left w:val="single" w:sz="4" w:space="0" w:color="auto"/>
                    <w:bottom w:val="single" w:sz="4" w:space="0" w:color="auto"/>
                    <w:right w:val="single" w:sz="4" w:space="0" w:color="auto"/>
                  </w:tcBorders>
                  <w:hideMark/>
                </w:tcPr>
                <w:p w14:paraId="0984834A" w14:textId="77777777" w:rsidR="00EA2B92" w:rsidRDefault="00EA2B92" w:rsidP="00EA2B92">
                  <w:pPr>
                    <w:spacing w:after="0"/>
                  </w:pPr>
                  <w:r>
                    <w:t xml:space="preserve">Data duplication of data sent during the SDT session and after </w:t>
                  </w:r>
                  <w:r>
                    <w:lastRenderedPageBreak/>
                    <w:t xml:space="preserve">getting CONNECTED </w:t>
                  </w:r>
                  <w:r>
                    <w:rPr>
                      <w:u w:val="single"/>
                    </w:rPr>
                    <w:t>can</w:t>
                  </w:r>
                  <w:r>
                    <w:t xml:space="preserve"> be detected</w:t>
                  </w:r>
                </w:p>
              </w:tc>
            </w:tr>
          </w:tbl>
          <w:p w14:paraId="0399EDD3" w14:textId="77777777" w:rsidR="00EA2B92" w:rsidRDefault="00EA2B92" w:rsidP="00EA2B92">
            <w:pPr>
              <w:spacing w:after="0"/>
              <w:ind w:left="360"/>
            </w:pPr>
          </w:p>
          <w:p w14:paraId="59714F11" w14:textId="77777777" w:rsidR="00EA2B92" w:rsidRDefault="00EA2B92" w:rsidP="00EA2B92">
            <w:pPr>
              <w:spacing w:after="0"/>
              <w:rPr>
                <w:rFonts w:eastAsia="Malgun Gothic"/>
                <w:lang w:eastAsia="ko-KR"/>
              </w:rPr>
            </w:pPr>
          </w:p>
        </w:tc>
      </w:tr>
      <w:tr w:rsidR="00D56910" w14:paraId="0389C4B9" w14:textId="77777777">
        <w:tc>
          <w:tcPr>
            <w:tcW w:w="1975" w:type="dxa"/>
          </w:tcPr>
          <w:p w14:paraId="24AA96C9" w14:textId="6CB5ADBC" w:rsidR="00D56910" w:rsidRDefault="00D56910" w:rsidP="00D56910">
            <w:pPr>
              <w:spacing w:after="0"/>
            </w:pPr>
            <w:r>
              <w:rPr>
                <w:rFonts w:hint="eastAsia"/>
                <w:lang w:eastAsia="zh-CN"/>
              </w:rPr>
              <w:lastRenderedPageBreak/>
              <w:t>N</w:t>
            </w:r>
            <w:r>
              <w:rPr>
                <w:lang w:eastAsia="zh-CN"/>
              </w:rPr>
              <w:t>EC</w:t>
            </w:r>
          </w:p>
        </w:tc>
        <w:tc>
          <w:tcPr>
            <w:tcW w:w="1170" w:type="dxa"/>
          </w:tcPr>
          <w:p w14:paraId="3F675AB0" w14:textId="10D6E3B6" w:rsidR="00D56910" w:rsidRDefault="00D56910" w:rsidP="00D56910">
            <w:pPr>
              <w:spacing w:after="0"/>
            </w:pPr>
            <w:r>
              <w:rPr>
                <w:lang w:eastAsia="zh-CN"/>
              </w:rPr>
              <w:t>No</w:t>
            </w:r>
          </w:p>
        </w:tc>
        <w:tc>
          <w:tcPr>
            <w:tcW w:w="6205" w:type="dxa"/>
          </w:tcPr>
          <w:p w14:paraId="7B0ED838" w14:textId="1EEA6B80" w:rsidR="00D56910" w:rsidRDefault="00D56910" w:rsidP="00D56910">
            <w:pPr>
              <w:spacing w:after="0"/>
            </w:pPr>
            <w:r>
              <w:rPr>
                <w:lang w:eastAsia="zh-CN"/>
              </w:rPr>
              <w:t>Providing new keys has impact to SA3 and the current security mechanism. It would be better if RAN2 can handle the issue ourselves by retaining the COUNT value.</w:t>
            </w:r>
          </w:p>
        </w:tc>
      </w:tr>
    </w:tbl>
    <w:p w14:paraId="15B4B525" w14:textId="77777777" w:rsidR="00EA567C" w:rsidRDefault="00EA567C">
      <w:pPr>
        <w:jc w:val="both"/>
        <w:rPr>
          <w:rFonts w:ascii="Times New Roman" w:hAnsi="Times New Roman" w:cs="Times New Roman"/>
          <w:sz w:val="20"/>
          <w:szCs w:val="20"/>
        </w:rPr>
      </w:pPr>
    </w:p>
    <w:p w14:paraId="15B4B526" w14:textId="77777777" w:rsidR="00EA567C" w:rsidRDefault="00786B2D">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TS 38.331 </w:t>
      </w:r>
      <w:r>
        <w:rPr>
          <w:rFonts w:ascii="Times New Roman" w:hAnsi="Times New Roman" w:cs="Times New Roman"/>
          <w:sz w:val="20"/>
          <w:szCs w:val="20"/>
        </w:rPr>
        <w:t xml:space="preserve">§ 5.3.1.2 </w:t>
      </w:r>
      <w:r>
        <w:rPr>
          <w:rFonts w:ascii="Times New Roman" w:hAnsi="Times New Roman" w:cs="Times New Roman"/>
          <w:sz w:val="20"/>
          <w:szCs w:val="20"/>
          <w:lang w:eastAsia="x-none"/>
        </w:rPr>
        <w:t>explains that same PDCP COUNT cannot be reused with the same security key as shown below:</w:t>
      </w:r>
    </w:p>
    <w:p w14:paraId="15B4B527" w14:textId="77777777" w:rsidR="00EA567C" w:rsidRDefault="00786B2D">
      <w:pPr>
        <w:ind w:left="360"/>
        <w:jc w:val="both"/>
        <w:rPr>
          <w:rFonts w:ascii="Times New Roman" w:hAnsi="Times New Roman" w:cs="Times New Roman"/>
          <w:sz w:val="20"/>
          <w:szCs w:val="20"/>
          <w:lang w:eastAsia="x-none"/>
        </w:rPr>
      </w:pPr>
      <w:r>
        <w:rPr>
          <w:rFonts w:ascii="Times New Roman" w:hAnsi="Times New Roman" w:cs="Times New Roman"/>
          <w:sz w:val="20"/>
          <w:szCs w:val="20"/>
          <w:lang w:eastAsia="x-none"/>
        </w:rPr>
        <w:t>“</w:t>
      </w:r>
      <w:r>
        <w:rPr>
          <w:rFonts w:ascii="Times New Roman" w:hAnsi="Times New Roman" w:cs="Times New Roman"/>
          <w:i/>
          <w:iCs/>
          <w:sz w:val="20"/>
          <w:szCs w:val="20"/>
          <w:u w:val="single"/>
          <w:lang w:eastAsia="x-none"/>
        </w:rPr>
        <w:t xml:space="preserve">It is </w:t>
      </w:r>
      <w:r>
        <w:rPr>
          <w:rFonts w:ascii="Times New Roman" w:hAnsi="Times New Roman" w:cs="Times New Roman"/>
          <w:i/>
          <w:iCs/>
          <w:sz w:val="20"/>
          <w:szCs w:val="20"/>
          <w:highlight w:val="yellow"/>
          <w:u w:val="single"/>
          <w:lang w:eastAsia="x-none"/>
        </w:rPr>
        <w:t>not allowed</w:t>
      </w:r>
      <w:r>
        <w:rPr>
          <w:rFonts w:ascii="Times New Roman" w:hAnsi="Times New Roman" w:cs="Times New Roman"/>
          <w:i/>
          <w:iCs/>
          <w:sz w:val="20"/>
          <w:szCs w:val="20"/>
          <w:u w:val="single"/>
          <w:lang w:eastAsia="x-none"/>
        </w:rPr>
        <w:t xml:space="preserve"> to use the same COUNT value more than once for a given security key</w:t>
      </w:r>
      <w:r>
        <w:rPr>
          <w:rFonts w:ascii="Times New Roman" w:hAnsi="Times New Roman" w:cs="Times New Roman"/>
          <w:i/>
          <w:iCs/>
          <w:sz w:val="20"/>
          <w:szCs w:val="20"/>
          <w:lang w:eastAsia="x-none"/>
        </w:rPr>
        <w:t>.</w:t>
      </w:r>
      <w:r>
        <w:rPr>
          <w:rFonts w:ascii="Times New Roman" w:hAnsi="Times New Roman" w:cs="Times New Roman"/>
          <w:sz w:val="20"/>
          <w:szCs w:val="20"/>
          <w:lang w:eastAsia="x-none"/>
        </w:rPr>
        <w:t>”</w:t>
      </w:r>
    </w:p>
    <w:p w14:paraId="15B4B528" w14:textId="77777777" w:rsidR="00EA567C" w:rsidRDefault="00786B2D">
      <w:pPr>
        <w:jc w:val="both"/>
        <w:rPr>
          <w:rFonts w:ascii="Times New Roman" w:hAnsi="Times New Roman" w:cs="Times New Roman"/>
          <w:sz w:val="20"/>
          <w:szCs w:val="20"/>
          <w:lang w:eastAsia="x-none"/>
        </w:rPr>
      </w:pPr>
      <w:r>
        <w:rPr>
          <w:rFonts w:ascii="Times New Roman" w:hAnsi="Times New Roman" w:cs="Times New Roman"/>
          <w:sz w:val="20"/>
          <w:szCs w:val="20"/>
        </w:rPr>
        <w:t>Note that further related details</w:t>
      </w:r>
      <w:r>
        <w:rPr>
          <w:rFonts w:ascii="Times New Roman" w:hAnsi="Times New Roman" w:cs="Times New Roman"/>
          <w:sz w:val="20"/>
          <w:szCs w:val="20"/>
          <w:lang w:eastAsia="x-none"/>
        </w:rPr>
        <w:t xml:space="preserve"> are discussed in the following sections of this email discussion.</w:t>
      </w:r>
    </w:p>
    <w:p w14:paraId="15B4B529" w14:textId="77777777" w:rsidR="00EA567C" w:rsidRDefault="00786B2D">
      <w:pPr>
        <w:pStyle w:val="observ"/>
        <w:ind w:left="360"/>
      </w:pPr>
      <w:r>
        <w:t>The mechanism to be defined that enables the switch from SDT to non-SDT shall meet the following NR requirement: the same PDCP COUNT value is not used more than once for a given security key.</w:t>
      </w:r>
    </w:p>
    <w:p w14:paraId="15B4B52A" w14:textId="77777777" w:rsidR="00EA567C" w:rsidRDefault="00EA567C">
      <w:pPr>
        <w:jc w:val="both"/>
        <w:rPr>
          <w:rFonts w:ascii="Times New Roman" w:hAnsi="Times New Roman" w:cs="Times New Roman"/>
          <w:sz w:val="20"/>
          <w:szCs w:val="20"/>
        </w:rPr>
      </w:pPr>
    </w:p>
    <w:p w14:paraId="15B4B52B"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If the PDCP COUNT is reset for the CCCH based approach and as the UE has not received a new key, how to satisfy the above requirements for the RBs should be discussed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_Ref74088756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_Ref74089401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p w14:paraId="15B4B52C" w14:textId="77777777" w:rsidR="00EA567C" w:rsidRDefault="00786B2D">
      <w:pPr>
        <w:pStyle w:val="a9"/>
        <w:numPr>
          <w:ilvl w:val="0"/>
          <w:numId w:val="6"/>
        </w:numPr>
        <w:spacing w:after="120"/>
        <w:ind w:left="360"/>
        <w:contextualSpacing w:val="0"/>
        <w:jc w:val="both"/>
        <w:rPr>
          <w:color w:val="A6A6A6" w:themeColor="background1" w:themeShade="A6"/>
        </w:rPr>
      </w:pPr>
      <w:bookmarkStart w:id="96" w:name="_Ref74232975"/>
      <w:r>
        <w:rPr>
          <w:color w:val="A6A6A6" w:themeColor="background1" w:themeShade="A6"/>
        </w:rPr>
        <w:t>When switching from SDT to non-SDT via CCCH-based approach and if the PDCP COUNT is reset, how to prevent the reuse of the same PDCP COUNT and the same security key for the RBs.</w:t>
      </w:r>
      <w:bookmarkEnd w:id="96"/>
    </w:p>
    <w:bookmarkStart w:id="97" w:name="_Hlk75225116"/>
    <w:p w14:paraId="15B4B52D" w14:textId="77777777" w:rsidR="00EA567C" w:rsidRDefault="00786B2D">
      <w:pPr>
        <w:pStyle w:val="4"/>
        <w:rPr>
          <w:color w:val="0000CC"/>
        </w:rPr>
      </w:pPr>
      <w:r>
        <w:rPr>
          <w:color w:val="0000CC"/>
          <w:lang w:val="en-US"/>
        </w:rPr>
        <w:fldChar w:fldCharType="begin"/>
      </w:r>
      <w:r>
        <w:rPr>
          <w:color w:val="0000CC"/>
          <w:lang w:val="en-US"/>
        </w:rPr>
        <w:instrText xml:space="preserve"> REF _Ref75005915 \r \h </w:instrText>
      </w:r>
      <w:r>
        <w:rPr>
          <w:color w:val="0000CC"/>
          <w:lang w:val="en-US"/>
        </w:rPr>
      </w:r>
      <w:r>
        <w:rPr>
          <w:color w:val="0000CC"/>
          <w:lang w:val="en-US"/>
        </w:rPr>
        <w:fldChar w:fldCharType="separate"/>
      </w:r>
      <w:r>
        <w:rPr>
          <w:color w:val="0000CC"/>
          <w:lang w:val="en-US"/>
        </w:rPr>
        <w:t>Q.13)</w:t>
      </w:r>
      <w:r>
        <w:rPr>
          <w:color w:val="0000CC"/>
          <w:lang w:val="en-US"/>
        </w:rPr>
        <w:fldChar w:fldCharType="end"/>
      </w:r>
      <w:bookmarkEnd w:id="97"/>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52E"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_Ref75005915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Q.13)</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52F" w14:textId="77777777" w:rsidR="00EA567C" w:rsidRDefault="00786B2D">
      <w:pPr>
        <w:pStyle w:val="a9"/>
        <w:numPr>
          <w:ilvl w:val="0"/>
          <w:numId w:val="30"/>
        </w:numPr>
        <w:overflowPunct/>
        <w:autoSpaceDE/>
        <w:autoSpaceDN/>
        <w:adjustRightInd/>
        <w:spacing w:after="120" w:line="259" w:lineRule="auto"/>
        <w:contextualSpacing w:val="0"/>
        <w:jc w:val="both"/>
        <w:rPr>
          <w:rFonts w:asciiTheme="minorHAnsi" w:eastAsiaTheme="minorEastAsia" w:hAnsiTheme="minorHAnsi" w:cstheme="minorBidi"/>
          <w:color w:val="0000CC"/>
        </w:rPr>
      </w:pPr>
      <w:bookmarkStart w:id="98" w:name="_Ref75005915"/>
      <w:r>
        <w:rPr>
          <w:color w:val="0000CC"/>
        </w:rPr>
        <w:t>When switching from SDT to non-SDT via CCCH-based approach and if the PDCP COUNT is reset, how can the reuse of the same PDCP COUNT and the same security key for the RBs be prevented?</w:t>
      </w:r>
      <w:bookmarkEnd w:id="98"/>
    </w:p>
    <w:tbl>
      <w:tblPr>
        <w:tblStyle w:val="ab"/>
        <w:tblW w:w="5000" w:type="pct"/>
        <w:tblLook w:val="04A0" w:firstRow="1" w:lastRow="0" w:firstColumn="1" w:lastColumn="0" w:noHBand="0" w:noVBand="1"/>
      </w:tblPr>
      <w:tblGrid>
        <w:gridCol w:w="2257"/>
        <w:gridCol w:w="7093"/>
      </w:tblGrid>
      <w:tr w:rsidR="00EA567C" w14:paraId="15B4B532" w14:textId="77777777">
        <w:tc>
          <w:tcPr>
            <w:tcW w:w="1207" w:type="pct"/>
            <w:shd w:val="clear" w:color="auto" w:fill="BFBFBF" w:themeFill="background1" w:themeFillShade="BF"/>
          </w:tcPr>
          <w:p w14:paraId="15B4B530" w14:textId="77777777" w:rsidR="00EA567C" w:rsidRDefault="00786B2D">
            <w:pPr>
              <w:spacing w:after="0"/>
              <w:jc w:val="center"/>
              <w:rPr>
                <w:b/>
                <w:bCs/>
              </w:rPr>
            </w:pPr>
            <w:r>
              <w:rPr>
                <w:b/>
                <w:bCs/>
              </w:rPr>
              <w:t>Company’s name</w:t>
            </w:r>
          </w:p>
        </w:tc>
        <w:tc>
          <w:tcPr>
            <w:tcW w:w="3793" w:type="pct"/>
            <w:shd w:val="clear" w:color="auto" w:fill="BFBFBF" w:themeFill="background1" w:themeFillShade="BF"/>
          </w:tcPr>
          <w:p w14:paraId="15B4B531" w14:textId="77777777" w:rsidR="00EA567C" w:rsidRDefault="00786B2D">
            <w:pPr>
              <w:spacing w:after="0"/>
              <w:jc w:val="center"/>
              <w:rPr>
                <w:b/>
                <w:bCs/>
              </w:rPr>
            </w:pPr>
            <w:r>
              <w:rPr>
                <w:b/>
                <w:bCs/>
              </w:rPr>
              <w:t>Explanation</w:t>
            </w:r>
          </w:p>
        </w:tc>
      </w:tr>
      <w:tr w:rsidR="00EA567C" w14:paraId="15B4B535" w14:textId="77777777">
        <w:tc>
          <w:tcPr>
            <w:tcW w:w="1207" w:type="pct"/>
          </w:tcPr>
          <w:p w14:paraId="15B4B533" w14:textId="77777777" w:rsidR="00EA567C" w:rsidRDefault="00786B2D">
            <w:pPr>
              <w:spacing w:after="0"/>
            </w:pPr>
            <w:r>
              <w:t>Huawei, HiSilicon</w:t>
            </w:r>
          </w:p>
        </w:tc>
        <w:tc>
          <w:tcPr>
            <w:tcW w:w="3793" w:type="pct"/>
          </w:tcPr>
          <w:p w14:paraId="15B4B534" w14:textId="77777777" w:rsidR="00EA567C" w:rsidRDefault="00786B2D">
            <w:pPr>
              <w:spacing w:after="0"/>
            </w:pPr>
            <w:r>
              <w:t xml:space="preserve">The security keys can be either derived horizontally when the second RRCResumeRequest is triggered (option 1c) as indicated in section 3.2.1.1) or the network may be required to update the security keys right after the second resume procedure is finalized i.e. when the UE is already in RRC_CONNECTED state, but before transmits/receives any data. </w:t>
            </w:r>
          </w:p>
        </w:tc>
      </w:tr>
      <w:tr w:rsidR="00EA567C" w14:paraId="15B4B538" w14:textId="77777777">
        <w:trPr>
          <w:trHeight w:val="43"/>
        </w:trPr>
        <w:tc>
          <w:tcPr>
            <w:tcW w:w="1207" w:type="pct"/>
          </w:tcPr>
          <w:p w14:paraId="15B4B536" w14:textId="77777777" w:rsidR="00EA567C" w:rsidRDefault="00786B2D">
            <w:pPr>
              <w:spacing w:after="0"/>
            </w:pPr>
            <w:r>
              <w:t>ZTE</w:t>
            </w:r>
          </w:p>
        </w:tc>
        <w:tc>
          <w:tcPr>
            <w:tcW w:w="3793" w:type="pct"/>
          </w:tcPr>
          <w:p w14:paraId="15B4B537" w14:textId="77777777" w:rsidR="00EA567C" w:rsidRDefault="00786B2D">
            <w:pPr>
              <w:spacing w:after="0"/>
            </w:pPr>
            <w:r>
              <w:t xml:space="preserve">Using same COUNT value more than once for the same key is definitely not allowed and hence we have to use something similar to Horizontal key derivation but this needs new indication in the CCCH message or new procedure at the UE before and after contention resolution as noted above. </w:t>
            </w:r>
          </w:p>
        </w:tc>
      </w:tr>
      <w:tr w:rsidR="00EA567C" w14:paraId="15B4B53B" w14:textId="77777777">
        <w:trPr>
          <w:trHeight w:val="43"/>
        </w:trPr>
        <w:tc>
          <w:tcPr>
            <w:tcW w:w="1207" w:type="pct"/>
          </w:tcPr>
          <w:p w14:paraId="15B4B539" w14:textId="77777777" w:rsidR="00EA567C" w:rsidRDefault="00786B2D">
            <w:pPr>
              <w:spacing w:after="0"/>
            </w:pPr>
            <w:r>
              <w:t>InterDigital</w:t>
            </w:r>
          </w:p>
        </w:tc>
        <w:tc>
          <w:tcPr>
            <w:tcW w:w="3793" w:type="pct"/>
          </w:tcPr>
          <w:p w14:paraId="15B4B53A" w14:textId="77777777" w:rsidR="00EA567C" w:rsidRDefault="00786B2D">
            <w:pPr>
              <w:spacing w:after="0"/>
            </w:pPr>
            <w:r>
              <w:t>The discussion should be other way around. If any new key derivation is required by SA3, then PDCP COUNT should be reset. Otherwise the COUNT should be retained.</w:t>
            </w:r>
          </w:p>
        </w:tc>
      </w:tr>
      <w:tr w:rsidR="00EA567C" w14:paraId="15B4B53E" w14:textId="77777777">
        <w:tc>
          <w:tcPr>
            <w:tcW w:w="1207" w:type="pct"/>
          </w:tcPr>
          <w:p w14:paraId="15B4B53C" w14:textId="77777777" w:rsidR="00EA567C" w:rsidRDefault="00786B2D">
            <w:pPr>
              <w:spacing w:after="0"/>
            </w:pPr>
            <w:r>
              <w:t>CATT</w:t>
            </w:r>
          </w:p>
        </w:tc>
        <w:tc>
          <w:tcPr>
            <w:tcW w:w="3793" w:type="pct"/>
          </w:tcPr>
          <w:p w14:paraId="15B4B53D" w14:textId="77777777" w:rsidR="00EA567C" w:rsidRDefault="00786B2D">
            <w:pPr>
              <w:spacing w:after="0"/>
            </w:pPr>
            <w:r>
              <w:t>The security keys can be derived horizontally when the 2nd RRCResumeRequest msg is initiated.</w:t>
            </w:r>
          </w:p>
        </w:tc>
      </w:tr>
      <w:tr w:rsidR="00EA567C" w14:paraId="15B4B541" w14:textId="77777777">
        <w:tc>
          <w:tcPr>
            <w:tcW w:w="1207" w:type="pct"/>
          </w:tcPr>
          <w:p w14:paraId="15B4B53F" w14:textId="77777777" w:rsidR="00EA567C" w:rsidRDefault="00786B2D">
            <w:pPr>
              <w:spacing w:after="0"/>
            </w:pPr>
            <w:r>
              <w:rPr>
                <w:rFonts w:eastAsiaTheme="minorEastAsia" w:hint="eastAsia"/>
              </w:rPr>
              <w:t>Samsung</w:t>
            </w:r>
          </w:p>
        </w:tc>
        <w:tc>
          <w:tcPr>
            <w:tcW w:w="3793" w:type="pct"/>
          </w:tcPr>
          <w:p w14:paraId="15B4B540" w14:textId="77777777" w:rsidR="00EA567C" w:rsidRDefault="00786B2D">
            <w:pPr>
              <w:spacing w:after="0"/>
            </w:pPr>
            <w:r>
              <w:rPr>
                <w:rFonts w:eastAsiaTheme="minorEastAsia"/>
              </w:rPr>
              <w:t>I</w:t>
            </w:r>
            <w:r>
              <w:rPr>
                <w:rFonts w:eastAsiaTheme="minorEastAsia" w:hint="eastAsia"/>
              </w:rPr>
              <w:t xml:space="preserve">f </w:t>
            </w:r>
            <w:r>
              <w:rPr>
                <w:rFonts w:eastAsiaTheme="minorEastAsia"/>
              </w:rPr>
              <w:t>key is not changed, COUNT should not be reset.</w:t>
            </w:r>
          </w:p>
        </w:tc>
      </w:tr>
      <w:tr w:rsidR="00EA567C" w14:paraId="15B4B544" w14:textId="77777777">
        <w:tc>
          <w:tcPr>
            <w:tcW w:w="1207" w:type="pct"/>
          </w:tcPr>
          <w:p w14:paraId="15B4B542" w14:textId="77777777" w:rsidR="00EA567C" w:rsidRDefault="00786B2D">
            <w:pPr>
              <w:spacing w:after="0"/>
              <w:rPr>
                <w:rFonts w:eastAsiaTheme="minorEastAsia"/>
              </w:rPr>
            </w:pPr>
            <w:r>
              <w:rPr>
                <w:rFonts w:eastAsiaTheme="minorEastAsia" w:hint="eastAsia"/>
              </w:rPr>
              <w:t>Fujitsu</w:t>
            </w:r>
          </w:p>
        </w:tc>
        <w:tc>
          <w:tcPr>
            <w:tcW w:w="3793" w:type="pct"/>
          </w:tcPr>
          <w:p w14:paraId="15B4B543" w14:textId="77777777" w:rsidR="00EA567C" w:rsidRDefault="00786B2D">
            <w:pPr>
              <w:spacing w:after="0"/>
              <w:rPr>
                <w:rFonts w:eastAsiaTheme="minorEastAsia"/>
              </w:rPr>
            </w:pPr>
            <w:r>
              <w:rPr>
                <w:rFonts w:eastAsiaTheme="minorEastAsia" w:hint="eastAsia"/>
              </w:rPr>
              <w:t xml:space="preserve">We understand that </w:t>
            </w:r>
            <w:r>
              <w:rPr>
                <w:rFonts w:eastAsiaTheme="minorEastAsia"/>
              </w:rPr>
              <w:t xml:space="preserve">PDCP COUNT for the RBs needs to be reset since reuse is not permitted. Horizontal key derivation can be considered according to </w:t>
            </w:r>
            <w:r>
              <w:t>the 2</w:t>
            </w:r>
            <w:r>
              <w:rPr>
                <w:vertAlign w:val="superscript"/>
              </w:rPr>
              <w:t>nd</w:t>
            </w:r>
            <w:r>
              <w:t xml:space="preserve"> RRCResumeRequest msg.</w:t>
            </w:r>
          </w:p>
        </w:tc>
      </w:tr>
      <w:tr w:rsidR="00EA567C" w14:paraId="15B4B547" w14:textId="77777777">
        <w:tc>
          <w:tcPr>
            <w:tcW w:w="1207" w:type="pct"/>
          </w:tcPr>
          <w:p w14:paraId="15B4B545" w14:textId="77777777" w:rsidR="00EA567C" w:rsidRDefault="00786B2D">
            <w:pPr>
              <w:spacing w:after="0"/>
              <w:rPr>
                <w:rFonts w:eastAsia="Malgun Gothic"/>
                <w:lang w:eastAsia="ko-KR"/>
              </w:rPr>
            </w:pPr>
            <w:r>
              <w:rPr>
                <w:rFonts w:eastAsia="Malgun Gothic" w:hint="eastAsia"/>
                <w:lang w:eastAsia="ko-KR"/>
              </w:rPr>
              <w:t>LG</w:t>
            </w:r>
          </w:p>
        </w:tc>
        <w:tc>
          <w:tcPr>
            <w:tcW w:w="3793" w:type="pct"/>
          </w:tcPr>
          <w:p w14:paraId="15B4B546" w14:textId="77777777" w:rsidR="00EA567C" w:rsidRDefault="00786B2D">
            <w:pPr>
              <w:spacing w:after="0"/>
              <w:rPr>
                <w:rFonts w:eastAsia="Malgun Gothic"/>
                <w:lang w:eastAsia="ko-KR"/>
              </w:rPr>
            </w:pPr>
            <w:r>
              <w:rPr>
                <w:rFonts w:eastAsia="Malgun Gothic" w:hint="eastAsia"/>
                <w:lang w:eastAsia="ko-KR"/>
              </w:rPr>
              <w:t>We don</w:t>
            </w:r>
            <w:r>
              <w:rPr>
                <w:rFonts w:eastAsia="Malgun Gothic"/>
                <w:lang w:eastAsia="ko-KR"/>
              </w:rPr>
              <w:t>’t think PDCP count values are reset. Then, there is no security issue foreseen. If RAN2 wants to reset the PDCP count values, then the solution mentioned by Huawei can be considered.</w:t>
            </w:r>
          </w:p>
        </w:tc>
      </w:tr>
      <w:tr w:rsidR="00481D0E" w14:paraId="7AA30C0E" w14:textId="77777777">
        <w:tc>
          <w:tcPr>
            <w:tcW w:w="1207" w:type="pct"/>
          </w:tcPr>
          <w:p w14:paraId="4E5893E1" w14:textId="2F0052BD" w:rsidR="00481D0E" w:rsidRDefault="00481D0E" w:rsidP="00481D0E">
            <w:pPr>
              <w:spacing w:after="0"/>
              <w:rPr>
                <w:rFonts w:eastAsia="Malgun Gothic"/>
                <w:lang w:eastAsia="ko-KR"/>
              </w:rPr>
            </w:pPr>
            <w:r>
              <w:lastRenderedPageBreak/>
              <w:t>Intel</w:t>
            </w:r>
          </w:p>
        </w:tc>
        <w:tc>
          <w:tcPr>
            <w:tcW w:w="3793" w:type="pct"/>
          </w:tcPr>
          <w:p w14:paraId="372DFF2C" w14:textId="3A72DDD9" w:rsidR="00481D0E" w:rsidRDefault="00481D0E" w:rsidP="00481D0E">
            <w:pPr>
              <w:spacing w:after="0"/>
              <w:rPr>
                <w:rFonts w:eastAsia="Malgun Gothic"/>
                <w:lang w:eastAsia="ko-KR"/>
              </w:rPr>
            </w:pPr>
            <w:r>
              <w:t>During the resume proc. associated with the 2</w:t>
            </w:r>
            <w:r>
              <w:rPr>
                <w:vertAlign w:val="superscript"/>
              </w:rPr>
              <w:t>nd</w:t>
            </w:r>
            <w:r>
              <w:t xml:space="preserve"> </w:t>
            </w:r>
            <w:r>
              <w:rPr>
                <w:i/>
                <w:iCs/>
              </w:rPr>
              <w:t>RRCResumeRequest</w:t>
            </w:r>
            <w:r>
              <w:t xml:space="preserve"> msg., if PDCP COUNT is reset as discussed in Q12, the usage of the same security keys should be prevented by one of the mechanisms discussed in next Q.14) e.g. horizontal key derivation.</w:t>
            </w:r>
          </w:p>
        </w:tc>
      </w:tr>
      <w:tr w:rsidR="00D56910" w14:paraId="76F2429F" w14:textId="77777777">
        <w:tc>
          <w:tcPr>
            <w:tcW w:w="1207" w:type="pct"/>
          </w:tcPr>
          <w:p w14:paraId="6D68713A" w14:textId="13973EA5" w:rsidR="00D56910" w:rsidRDefault="00D56910" w:rsidP="00D56910">
            <w:pPr>
              <w:spacing w:after="0"/>
            </w:pPr>
            <w:r>
              <w:rPr>
                <w:rFonts w:hint="eastAsia"/>
                <w:lang w:eastAsia="zh-CN"/>
              </w:rPr>
              <w:t>N</w:t>
            </w:r>
            <w:r>
              <w:rPr>
                <w:lang w:eastAsia="zh-CN"/>
              </w:rPr>
              <w:t>EC</w:t>
            </w:r>
          </w:p>
        </w:tc>
        <w:tc>
          <w:tcPr>
            <w:tcW w:w="3793" w:type="pct"/>
          </w:tcPr>
          <w:p w14:paraId="5ACC9EBB" w14:textId="2C4AFCA3" w:rsidR="00D56910" w:rsidRDefault="00D56910" w:rsidP="00D56910">
            <w:pPr>
              <w:spacing w:after="0"/>
            </w:pPr>
            <w:r>
              <w:t xml:space="preserve">RAN2 should try to solve this issue by COUNT value continuation to avoid impact to SA3. We can consider solutions of having new keys for this case only if it is not possible to solve this issue in RAN2. </w:t>
            </w:r>
          </w:p>
        </w:tc>
      </w:tr>
    </w:tbl>
    <w:p w14:paraId="15B4B548" w14:textId="77777777" w:rsidR="00EA567C" w:rsidRDefault="00EA567C">
      <w:pPr>
        <w:jc w:val="both"/>
        <w:rPr>
          <w:rFonts w:ascii="Times New Roman" w:hAnsi="Times New Roman" w:cs="Times New Roman"/>
          <w:sz w:val="20"/>
          <w:szCs w:val="20"/>
        </w:rPr>
      </w:pPr>
    </w:p>
    <w:p w14:paraId="15B4B549"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If PDCP count is reset upon detecting non-SDT data during an ongoing SDT session for CCCH-based approach, UE/network may not be able to detect data duplication and prevent data loss after transitioning into RRC_CONNECTED</w:t>
      </w:r>
      <w:r>
        <w:t>.</w:t>
      </w:r>
    </w:p>
    <w:p w14:paraId="15B4B54A" w14:textId="77777777" w:rsidR="00EA567C" w:rsidRDefault="00786B2D">
      <w:pPr>
        <w:pStyle w:val="observ"/>
        <w:ind w:left="360"/>
      </w:pPr>
      <w:bookmarkStart w:id="99" w:name="_Ref74945454"/>
      <w:r>
        <w:t>When switching from SDT to non-SDT via CCCH-based approach, if the PDCP count is reset upon detecting non-SDT data during an ongoing SDT session, the UE/network may not be able to detect data duplication and prevent data loss during the transitioning into RRC_CONNECTED.</w:t>
      </w:r>
      <w:bookmarkEnd w:id="99"/>
    </w:p>
    <w:p w14:paraId="15B4B54B" w14:textId="77777777" w:rsidR="00EA567C" w:rsidRDefault="00EA567C">
      <w:pPr>
        <w:jc w:val="both"/>
        <w:rPr>
          <w:rFonts w:ascii="Times New Roman" w:hAnsi="Times New Roman" w:cs="Times New Roman"/>
          <w:sz w:val="20"/>
          <w:szCs w:val="20"/>
        </w:rPr>
      </w:pPr>
    </w:p>
    <w:p w14:paraId="15B4B54C" w14:textId="77777777" w:rsidR="00EA567C" w:rsidRDefault="00786B2D">
      <w:pPr>
        <w:pStyle w:val="3"/>
      </w:pPr>
      <w:bookmarkStart w:id="100" w:name="_Ref73980681"/>
      <w:r>
        <w:rPr>
          <w:lang w:val="en-US"/>
        </w:rPr>
        <w:t>[CCCH p</w:t>
      </w:r>
      <w:r>
        <w:t>oint (</w:t>
      </w:r>
      <w:r>
        <w:rPr>
          <w:lang w:val="en-US"/>
        </w:rPr>
        <w:t>5</w:t>
      </w:r>
      <w:r>
        <w:t>)</w:t>
      </w:r>
      <w:r>
        <w:rPr>
          <w:lang w:val="en-US"/>
        </w:rPr>
        <w:t>]</w:t>
      </w:r>
      <w:r>
        <w:t xml:space="preserve"> </w:t>
      </w:r>
      <w:bookmarkEnd w:id="100"/>
      <w:r>
        <w:rPr>
          <w:lang w:val="en-US"/>
        </w:rPr>
        <w:t>security</w:t>
      </w:r>
      <w:r>
        <w:t xml:space="preserve"> associated resume MAC-I (dependent on SA3 outcome)</w:t>
      </w:r>
    </w:p>
    <w:p w14:paraId="15B4B54D"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lang w:eastAsia="x-none"/>
        </w:rPr>
        <w:t xml:space="preserve">This sub-section discuss how </w:t>
      </w:r>
      <w:r>
        <w:rPr>
          <w:rFonts w:ascii="Times New Roman" w:hAnsi="Times New Roman" w:cs="Times New Roman"/>
          <w:i/>
          <w:iCs/>
          <w:sz w:val="20"/>
          <w:szCs w:val="20"/>
        </w:rPr>
        <w:t>resumeMAC-I</w:t>
      </w:r>
      <w:r>
        <w:rPr>
          <w:rFonts w:ascii="Times New Roman" w:hAnsi="Times New Roman" w:cs="Times New Roman"/>
          <w:sz w:val="20"/>
          <w:szCs w:val="20"/>
        </w:rPr>
        <w:t xml:space="preserve"> is calculated for this 2</w:t>
      </w:r>
      <w:r>
        <w:rPr>
          <w:rFonts w:ascii="Times New Roman" w:hAnsi="Times New Roman" w:cs="Times New Roman"/>
          <w:sz w:val="20"/>
          <w:szCs w:val="20"/>
          <w:vertAlign w:val="superscript"/>
        </w:rPr>
        <w:t>nd</w:t>
      </w:r>
      <w:r>
        <w:rPr>
          <w:rFonts w:ascii="Times New Roman" w:hAnsi="Times New Roman" w:cs="Times New Roman"/>
          <w:sz w:val="20"/>
          <w:szCs w:val="20"/>
        </w:rPr>
        <w:t xml:space="preserve"> </w:t>
      </w:r>
      <w:r>
        <w:rPr>
          <w:rFonts w:ascii="Times New Roman" w:hAnsi="Times New Roman" w:cs="Times New Roman"/>
          <w:i/>
          <w:iCs/>
          <w:sz w:val="20"/>
          <w:szCs w:val="20"/>
        </w:rPr>
        <w:t>RRCResumeRequest</w:t>
      </w:r>
      <w:r>
        <w:rPr>
          <w:rFonts w:ascii="Times New Roman" w:hAnsi="Times New Roman" w:cs="Times New Roman"/>
          <w:sz w:val="20"/>
          <w:szCs w:val="20"/>
        </w:rPr>
        <w:t xml:space="preserve"> msg and some of it is dependent on SA3 outcome. For reference, it is shown below related actions from TS 38.331 on this: </w:t>
      </w:r>
    </w:p>
    <w:p w14:paraId="15B4B54E" w14:textId="77777777" w:rsidR="00EA567C" w:rsidRDefault="00786B2D">
      <w:pPr>
        <w:pStyle w:val="a9"/>
        <w:spacing w:after="60"/>
        <w:ind w:left="450"/>
        <w:jc w:val="both"/>
        <w:rPr>
          <w:i/>
          <w:iCs/>
        </w:rPr>
      </w:pPr>
      <w:r>
        <w:rPr>
          <w:i/>
          <w:iCs/>
        </w:rPr>
        <w:t xml:space="preserve">1&gt; set the </w:t>
      </w:r>
      <w:r>
        <w:rPr>
          <w:b/>
          <w:bCs/>
          <w:i/>
          <w:iCs/>
        </w:rPr>
        <w:t>resumeMAC-I</w:t>
      </w:r>
      <w:r>
        <w:rPr>
          <w:i/>
          <w:iCs/>
        </w:rPr>
        <w:t xml:space="preserve"> to the 16 least significant bits of the MAC-I calculated: </w:t>
      </w:r>
    </w:p>
    <w:p w14:paraId="15B4B54F" w14:textId="77777777" w:rsidR="00EA567C" w:rsidRDefault="00786B2D">
      <w:pPr>
        <w:pStyle w:val="a9"/>
        <w:spacing w:after="60"/>
        <w:ind w:left="900"/>
        <w:jc w:val="both"/>
        <w:rPr>
          <w:i/>
          <w:iCs/>
        </w:rPr>
      </w:pPr>
      <w:r>
        <w:rPr>
          <w:i/>
          <w:iCs/>
        </w:rPr>
        <w:t xml:space="preserve">2&gt; over the ASN.1 encoded as per clause 8 (i.e., a multiple of 8 bits) VarResumeMAC-Input; </w:t>
      </w:r>
    </w:p>
    <w:p w14:paraId="15B4B550" w14:textId="77777777" w:rsidR="00EA567C" w:rsidRDefault="00786B2D">
      <w:pPr>
        <w:pStyle w:val="a9"/>
        <w:spacing w:after="60"/>
        <w:ind w:left="900"/>
        <w:jc w:val="both"/>
        <w:rPr>
          <w:i/>
          <w:iCs/>
        </w:rPr>
      </w:pPr>
      <w:r>
        <w:rPr>
          <w:i/>
          <w:iCs/>
        </w:rPr>
        <w:t xml:space="preserve">2&gt; with the </w:t>
      </w:r>
      <w:r>
        <w:rPr>
          <w:b/>
          <w:bCs/>
          <w:i/>
          <w:iCs/>
        </w:rPr>
        <w:t>K</w:t>
      </w:r>
      <w:r>
        <w:rPr>
          <w:b/>
          <w:bCs/>
          <w:i/>
          <w:iCs/>
          <w:vertAlign w:val="subscript"/>
        </w:rPr>
        <w:t>RRCint</w:t>
      </w:r>
      <w:r>
        <w:rPr>
          <w:b/>
          <w:bCs/>
          <w:i/>
          <w:iCs/>
        </w:rPr>
        <w:t xml:space="preserve">  key in the UE Inactive AS Context</w:t>
      </w:r>
      <w:r>
        <w:rPr>
          <w:i/>
          <w:iCs/>
        </w:rPr>
        <w:t xml:space="preserve"> and the previously configured integrity protection </w:t>
      </w:r>
    </w:p>
    <w:p w14:paraId="15B4B551" w14:textId="77777777" w:rsidR="00EA567C" w:rsidRDefault="00786B2D">
      <w:pPr>
        <w:pStyle w:val="a9"/>
        <w:spacing w:after="60"/>
        <w:ind w:left="900"/>
        <w:jc w:val="both"/>
        <w:rPr>
          <w:i/>
          <w:iCs/>
        </w:rPr>
      </w:pPr>
      <w:r>
        <w:rPr>
          <w:i/>
          <w:iCs/>
        </w:rPr>
        <w:t xml:space="preserve">algorithm; and </w:t>
      </w:r>
    </w:p>
    <w:p w14:paraId="15B4B552" w14:textId="77777777" w:rsidR="00EA567C" w:rsidRDefault="00786B2D">
      <w:pPr>
        <w:pStyle w:val="a9"/>
        <w:spacing w:after="60"/>
        <w:ind w:left="900"/>
        <w:jc w:val="both"/>
        <w:rPr>
          <w:i/>
          <w:iCs/>
        </w:rPr>
      </w:pPr>
      <w:r>
        <w:rPr>
          <w:i/>
          <w:iCs/>
        </w:rPr>
        <w:t xml:space="preserve">2&gt; with all input bits for COUNT, BEARER and DIRECTION set to binary ones; </w:t>
      </w:r>
    </w:p>
    <w:p w14:paraId="15B4B553" w14:textId="77777777" w:rsidR="00EA567C" w:rsidRDefault="00786B2D">
      <w:pPr>
        <w:spacing w:after="180"/>
        <w:jc w:val="both"/>
        <w:rPr>
          <w:rFonts w:ascii="Times New Roman" w:hAnsi="Times New Roman" w:cs="Times New Roman"/>
          <w:sz w:val="20"/>
          <w:szCs w:val="20"/>
        </w:rPr>
      </w:pPr>
      <w:r>
        <w:rPr>
          <w:rFonts w:ascii="Times New Roman" w:hAnsi="Times New Roman" w:cs="Times New Roman"/>
          <w:sz w:val="20"/>
          <w:szCs w:val="20"/>
        </w:rPr>
        <w:t>Therefore, the suggested options are in relation to the NCC and the K</w:t>
      </w:r>
      <w:r>
        <w:rPr>
          <w:rFonts w:ascii="Times New Roman" w:hAnsi="Times New Roman" w:cs="Times New Roman"/>
          <w:sz w:val="20"/>
          <w:szCs w:val="20"/>
          <w:vertAlign w:val="subscript"/>
        </w:rPr>
        <w:t>RRCint</w:t>
      </w:r>
      <w:r>
        <w:rPr>
          <w:rFonts w:ascii="Times New Roman" w:hAnsi="Times New Roman" w:cs="Times New Roman"/>
          <w:sz w:val="20"/>
          <w:szCs w:val="20"/>
        </w:rPr>
        <w:t xml:space="preserve"> key in used.  </w:t>
      </w:r>
    </w:p>
    <w:p w14:paraId="15B4B554" w14:textId="77777777" w:rsidR="00EA567C" w:rsidRDefault="00786B2D">
      <w:pPr>
        <w:spacing w:after="180"/>
        <w:jc w:val="both"/>
        <w:rPr>
          <w:rFonts w:ascii="Times New Roman" w:hAnsi="Times New Roman" w:cs="Times New Roman"/>
          <w:sz w:val="20"/>
          <w:szCs w:val="20"/>
        </w:rPr>
      </w:pPr>
      <w:r>
        <w:rPr>
          <w:rFonts w:ascii="Times New Roman" w:hAnsi="Times New Roman" w:cs="Times New Roman"/>
          <w:sz w:val="20"/>
          <w:szCs w:val="20"/>
        </w:rPr>
        <w:t xml:space="preserve">Irrespective of the security issue that SA3 is addressing, RAN2 can still discuss whether the key used for generating the </w:t>
      </w:r>
      <w:r>
        <w:rPr>
          <w:rFonts w:ascii="Times New Roman" w:hAnsi="Times New Roman" w:cs="Times New Roman"/>
          <w:i/>
          <w:iCs/>
          <w:sz w:val="20"/>
          <w:szCs w:val="20"/>
        </w:rPr>
        <w:t>ResumeMAC-I</w:t>
      </w:r>
      <w:r>
        <w:rPr>
          <w:rFonts w:ascii="Times New Roman" w:hAnsi="Times New Roman" w:cs="Times New Roman"/>
          <w:sz w:val="20"/>
          <w:szCs w:val="20"/>
        </w:rPr>
        <w:t xml:space="preserve"> – for example, is it the one that is currently in use for the SDT data transfer or the one used for generating the </w:t>
      </w:r>
      <w:r>
        <w:rPr>
          <w:rFonts w:ascii="Times New Roman" w:hAnsi="Times New Roman" w:cs="Times New Roman"/>
          <w:i/>
          <w:iCs/>
          <w:sz w:val="20"/>
          <w:szCs w:val="20"/>
        </w:rPr>
        <w:t>ResumeMAC-I</w:t>
      </w:r>
      <w:r>
        <w:rPr>
          <w:rFonts w:ascii="Times New Roman" w:hAnsi="Times New Roman" w:cs="Times New Roman"/>
          <w:sz w:val="20"/>
          <w:szCs w:val="20"/>
        </w:rPr>
        <w:t xml:space="preserve"> of the first </w:t>
      </w:r>
      <w:r>
        <w:rPr>
          <w:rFonts w:ascii="Times New Roman" w:hAnsi="Times New Roman" w:cs="Times New Roman"/>
          <w:i/>
          <w:iCs/>
          <w:sz w:val="20"/>
          <w:szCs w:val="20"/>
        </w:rPr>
        <w:t>RRCResumeRequest</w:t>
      </w:r>
      <w:r>
        <w:rPr>
          <w:rFonts w:ascii="Times New Roman" w:hAnsi="Times New Roman" w:cs="Times New Roman"/>
          <w:sz w:val="20"/>
          <w:szCs w:val="20"/>
        </w:rPr>
        <w:t>.  Proposals were also made to address the security issue related to the reuse of key for generation of the ResumeMAC-I.  The proposals for key to use for generating ResumeMAC-I include:</w:t>
      </w:r>
    </w:p>
    <w:p w14:paraId="15B4B555" w14:textId="77777777" w:rsidR="00EA567C" w:rsidRDefault="00786B2D">
      <w:pPr>
        <w:pStyle w:val="a9"/>
        <w:numPr>
          <w:ilvl w:val="2"/>
          <w:numId w:val="15"/>
        </w:numPr>
        <w:spacing w:after="60"/>
        <w:ind w:left="1800" w:hanging="360"/>
        <w:contextualSpacing w:val="0"/>
        <w:jc w:val="both"/>
      </w:pPr>
      <w:r>
        <w:t xml:space="preserve">NCC provided in last </w:t>
      </w:r>
      <w:r>
        <w:rPr>
          <w:i/>
          <w:iCs/>
        </w:rPr>
        <w:t>RRCRelease</w:t>
      </w:r>
      <w:r>
        <w:t xml:space="preserve"> message i.e. same as for legacy </w:t>
      </w:r>
      <w:r>
        <w:rPr>
          <w:i/>
          <w:iCs/>
        </w:rPr>
        <w:t xml:space="preserve">RRCResumeRequest </w:t>
      </w:r>
      <w:r>
        <w:t>which was also used when the SDT session was started (before initiating ongoing switch to non-SDT).</w:t>
      </w:r>
    </w:p>
    <w:p w14:paraId="15B4B556" w14:textId="77777777" w:rsidR="00EA567C" w:rsidRDefault="00786B2D">
      <w:pPr>
        <w:pStyle w:val="a9"/>
        <w:numPr>
          <w:ilvl w:val="2"/>
          <w:numId w:val="15"/>
        </w:numPr>
        <w:spacing w:after="60"/>
        <w:ind w:left="1800" w:hanging="360"/>
        <w:contextualSpacing w:val="0"/>
        <w:jc w:val="both"/>
      </w:pPr>
      <w:r>
        <w:t xml:space="preserve">Horizonal key derivation from current NCC </w:t>
      </w:r>
      <w:r>
        <w:fldChar w:fldCharType="begin"/>
      </w:r>
      <w:r>
        <w:instrText xml:space="preserve"> REF _Ref74088716 \r \h  \* MERGEFORMAT </w:instrText>
      </w:r>
      <w:r>
        <w:fldChar w:fldCharType="separate"/>
      </w:r>
      <w:r>
        <w:t>[5]</w:t>
      </w:r>
      <w:r>
        <w:fldChar w:fldCharType="end"/>
      </w:r>
      <w:r>
        <w:t xml:space="preserve"> </w:t>
      </w:r>
      <w:r>
        <w:fldChar w:fldCharType="begin"/>
      </w:r>
      <w:r>
        <w:instrText xml:space="preserve"> REF _Ref74088974 \r \h  \* MERGEFORMAT </w:instrText>
      </w:r>
      <w:r>
        <w:fldChar w:fldCharType="separate"/>
      </w:r>
      <w:r>
        <w:t>[14]</w:t>
      </w:r>
      <w:r>
        <w:fldChar w:fldCharType="end"/>
      </w:r>
      <w:r>
        <w:t xml:space="preserve"> </w:t>
      </w:r>
      <w:r>
        <w:fldChar w:fldCharType="begin"/>
      </w:r>
      <w:r>
        <w:instrText xml:space="preserve"> REF _Ref74088860 \r \h  \* MERGEFORMAT </w:instrText>
      </w:r>
      <w:r>
        <w:fldChar w:fldCharType="separate"/>
      </w:r>
      <w:r>
        <w:t>[18]</w:t>
      </w:r>
      <w:r>
        <w:fldChar w:fldCharType="end"/>
      </w:r>
      <w:r>
        <w:t>.</w:t>
      </w:r>
    </w:p>
    <w:p w14:paraId="15B4B557" w14:textId="77777777" w:rsidR="00EA567C" w:rsidRDefault="00786B2D">
      <w:pPr>
        <w:pStyle w:val="a9"/>
        <w:numPr>
          <w:ilvl w:val="2"/>
          <w:numId w:val="15"/>
        </w:numPr>
        <w:spacing w:after="60"/>
        <w:ind w:left="1800" w:hanging="360"/>
        <w:contextualSpacing w:val="0"/>
        <w:jc w:val="both"/>
      </w:pPr>
      <w:r>
        <w:t>New NCC that was provided by the serving gNB in the 1</w:t>
      </w:r>
      <w:r>
        <w:rPr>
          <w:vertAlign w:val="superscript"/>
        </w:rPr>
        <w:t>st</w:t>
      </w:r>
      <w:r>
        <w:t xml:space="preserve"> DL message after UE sends the 1</w:t>
      </w:r>
      <w:r>
        <w:rPr>
          <w:vertAlign w:val="superscript"/>
        </w:rPr>
        <w:t>st</w:t>
      </w:r>
      <w:r>
        <w:t xml:space="preserve"> UL SDT msg (i.e. upon initiating the SDT session) </w:t>
      </w:r>
      <w:r>
        <w:fldChar w:fldCharType="begin"/>
      </w:r>
      <w:r>
        <w:instrText xml:space="preserve"> REF _Ref74088716 \r \h  \* MERGEFORMAT </w:instrText>
      </w:r>
      <w:r>
        <w:fldChar w:fldCharType="separate"/>
      </w:r>
      <w:r>
        <w:t>[5]</w:t>
      </w:r>
      <w:r>
        <w:fldChar w:fldCharType="end"/>
      </w:r>
      <w:r>
        <w:t>.</w:t>
      </w:r>
    </w:p>
    <w:p w14:paraId="15B4B558" w14:textId="77777777" w:rsidR="00EA567C" w:rsidRDefault="00786B2D">
      <w:pPr>
        <w:pStyle w:val="a9"/>
        <w:numPr>
          <w:ilvl w:val="2"/>
          <w:numId w:val="15"/>
        </w:numPr>
        <w:spacing w:after="60"/>
        <w:ind w:left="1800" w:hanging="360"/>
        <w:contextualSpacing w:val="0"/>
        <w:jc w:val="both"/>
      </w:pPr>
      <w:r>
        <w:t>UE’s K</w:t>
      </w:r>
      <w:r>
        <w:rPr>
          <w:vertAlign w:val="subscript"/>
        </w:rPr>
        <w:t>RRCint</w:t>
      </w:r>
      <w:r>
        <w:t xml:space="preserve"> key stored in UE Inactive AS Context i.e. same as for legacy </w:t>
      </w:r>
      <w:r>
        <w:rPr>
          <w:i/>
          <w:iCs/>
        </w:rPr>
        <w:t xml:space="preserve">RRCResumeRequest </w:t>
      </w:r>
      <w:r>
        <w:t xml:space="preserve">which was also used when the SDT session was started (before initiating ongoing switch to non-SDT) </w:t>
      </w:r>
      <w:r>
        <w:fldChar w:fldCharType="begin"/>
      </w:r>
      <w:r>
        <w:instrText xml:space="preserve"> REF _Ref74088823 \r \h  \* MERGEFORMAT </w:instrText>
      </w:r>
      <w:r>
        <w:fldChar w:fldCharType="separate"/>
      </w:r>
      <w:r>
        <w:t>[12]</w:t>
      </w:r>
      <w:r>
        <w:fldChar w:fldCharType="end"/>
      </w:r>
      <w:r>
        <w:t xml:space="preserve"> (this may depend on the SA3 conclusion).</w:t>
      </w:r>
    </w:p>
    <w:p w14:paraId="15B4B559" w14:textId="77777777" w:rsidR="00EA567C" w:rsidRDefault="00786B2D">
      <w:pPr>
        <w:pStyle w:val="a9"/>
        <w:numPr>
          <w:ilvl w:val="2"/>
          <w:numId w:val="15"/>
        </w:numPr>
        <w:ind w:left="1800" w:hanging="360"/>
        <w:contextualSpacing w:val="0"/>
        <w:jc w:val="both"/>
      </w:pPr>
      <w:r>
        <w:t>UE’s new K</w:t>
      </w:r>
      <w:r>
        <w:rPr>
          <w:vertAlign w:val="subscript"/>
        </w:rPr>
        <w:t>RRCint</w:t>
      </w:r>
      <w:r>
        <w:t xml:space="preserve"> key i.e. the one calculated when triggering SDT </w:t>
      </w:r>
      <w:r>
        <w:fldChar w:fldCharType="begin"/>
      </w:r>
      <w:r>
        <w:instrText xml:space="preserve"> REF _Ref74088823 \r \h  \* MERGEFORMAT </w:instrText>
      </w:r>
      <w:r>
        <w:fldChar w:fldCharType="separate"/>
      </w:r>
      <w:r>
        <w:t>[12]</w:t>
      </w:r>
      <w:r>
        <w:fldChar w:fldCharType="end"/>
      </w:r>
      <w:r>
        <w:t>.</w:t>
      </w:r>
    </w:p>
    <w:p w14:paraId="15B4B55A" w14:textId="77777777" w:rsidR="00EA567C" w:rsidRDefault="00786B2D">
      <w:pPr>
        <w:pStyle w:val="a9"/>
        <w:numPr>
          <w:ilvl w:val="0"/>
          <w:numId w:val="6"/>
        </w:numPr>
        <w:spacing w:after="120"/>
        <w:ind w:left="360"/>
        <w:contextualSpacing w:val="0"/>
        <w:jc w:val="both"/>
        <w:rPr>
          <w:color w:val="A6A6A6" w:themeColor="background1" w:themeShade="A6"/>
        </w:rPr>
      </w:pPr>
      <w:bookmarkStart w:id="101" w:name="_Ref73980652"/>
      <w:bookmarkStart w:id="102" w:name="_Ref74170426"/>
      <w:r>
        <w:rPr>
          <w:color w:val="A6A6A6" w:themeColor="background1" w:themeShade="A6"/>
        </w:rPr>
        <w:t xml:space="preserve">When switching from SDT to non-SDT via CCCH-based approach, which key is used for generating the </w:t>
      </w:r>
      <w:r>
        <w:rPr>
          <w:i/>
          <w:iCs/>
          <w:color w:val="A6A6A6" w:themeColor="background1" w:themeShade="A6"/>
        </w:rPr>
        <w:t>resumeMAC-I</w:t>
      </w:r>
      <w:r>
        <w:rPr>
          <w:color w:val="A6A6A6" w:themeColor="background1" w:themeShade="A6"/>
          <w:lang w:eastAsia="x-none"/>
        </w:rPr>
        <w:t xml:space="preserve"> for the </w:t>
      </w:r>
      <w:r>
        <w:rPr>
          <w:color w:val="A6A6A6" w:themeColor="background1" w:themeShade="A6"/>
        </w:rPr>
        <w:t>2</w:t>
      </w:r>
      <w:r>
        <w:rPr>
          <w:color w:val="A6A6A6" w:themeColor="background1" w:themeShade="A6"/>
          <w:vertAlign w:val="superscript"/>
        </w:rPr>
        <w:t>nd</w:t>
      </w:r>
      <w:r>
        <w:rPr>
          <w:color w:val="A6A6A6" w:themeColor="background1" w:themeShade="A6"/>
        </w:rPr>
        <w:t xml:space="preserve"> </w:t>
      </w:r>
      <w:r>
        <w:rPr>
          <w:i/>
          <w:iCs/>
          <w:color w:val="A6A6A6" w:themeColor="background1" w:themeShade="A6"/>
        </w:rPr>
        <w:t>RRCResumeRequest</w:t>
      </w:r>
      <w:r>
        <w:rPr>
          <w:color w:val="A6A6A6" w:themeColor="background1" w:themeShade="A6"/>
        </w:rPr>
        <w:t xml:space="preserve"> msg</w:t>
      </w:r>
      <w:bookmarkEnd w:id="101"/>
      <w:r>
        <w:rPr>
          <w:color w:val="A6A6A6" w:themeColor="background1" w:themeShade="A6"/>
          <w:lang w:eastAsia="x-none"/>
        </w:rPr>
        <w:t>.</w:t>
      </w:r>
      <w:bookmarkEnd w:id="102"/>
    </w:p>
    <w:p w14:paraId="15B4B55B" w14:textId="77777777" w:rsidR="00EA567C" w:rsidRDefault="00786B2D">
      <w:pPr>
        <w:pStyle w:val="4"/>
        <w:rPr>
          <w:color w:val="0000CC"/>
        </w:rPr>
      </w:pPr>
      <w:r>
        <w:rPr>
          <w:color w:val="0000CC"/>
          <w:lang w:val="en-US"/>
        </w:rPr>
        <w:fldChar w:fldCharType="begin"/>
      </w:r>
      <w:r>
        <w:rPr>
          <w:color w:val="0000CC"/>
          <w:lang w:val="en-US"/>
        </w:rPr>
        <w:instrText xml:space="preserve"> REF _Ref75005924 \r \h </w:instrText>
      </w:r>
      <w:r>
        <w:rPr>
          <w:color w:val="0000CC"/>
          <w:lang w:val="en-US"/>
        </w:rPr>
      </w:r>
      <w:r>
        <w:rPr>
          <w:color w:val="0000CC"/>
          <w:lang w:val="en-US"/>
        </w:rPr>
        <w:fldChar w:fldCharType="separate"/>
      </w:r>
      <w:r>
        <w:rPr>
          <w:color w:val="0000CC"/>
          <w:lang w:val="en-US"/>
        </w:rPr>
        <w:t>Q.14)</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55C"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_Ref75005924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Q.14)</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55D" w14:textId="77777777" w:rsidR="00EA567C" w:rsidRDefault="00786B2D">
      <w:pPr>
        <w:pStyle w:val="a9"/>
        <w:numPr>
          <w:ilvl w:val="0"/>
          <w:numId w:val="30"/>
        </w:numPr>
        <w:overflowPunct/>
        <w:autoSpaceDE/>
        <w:autoSpaceDN/>
        <w:adjustRightInd/>
        <w:spacing w:after="120" w:line="259" w:lineRule="auto"/>
        <w:contextualSpacing w:val="0"/>
        <w:jc w:val="both"/>
        <w:rPr>
          <w:color w:val="0000CC"/>
        </w:rPr>
      </w:pPr>
      <w:bookmarkStart w:id="103" w:name="_Ref75005924"/>
      <w:bookmarkStart w:id="104" w:name="_Ref75220747"/>
      <w:r>
        <w:rPr>
          <w:color w:val="0000CC"/>
        </w:rPr>
        <w:lastRenderedPageBreak/>
        <w:t xml:space="preserve">When switching from SDT to non-SDT via CCCH-based approach, which previous option 6.x or new option is preferable to calculate the key used for generating the </w:t>
      </w:r>
      <w:r>
        <w:rPr>
          <w:i/>
          <w:iCs/>
          <w:color w:val="0000CC"/>
        </w:rPr>
        <w:t>resumeMAC-I</w:t>
      </w:r>
      <w:r>
        <w:rPr>
          <w:color w:val="0000CC"/>
        </w:rPr>
        <w:t xml:space="preserve"> for the 2</w:t>
      </w:r>
      <w:r>
        <w:rPr>
          <w:color w:val="0000CC"/>
          <w:vertAlign w:val="superscript"/>
        </w:rPr>
        <w:t>nd</w:t>
      </w:r>
      <w:r>
        <w:rPr>
          <w:color w:val="0000CC"/>
        </w:rPr>
        <w:t xml:space="preserve"> </w:t>
      </w:r>
      <w:r>
        <w:rPr>
          <w:i/>
          <w:iCs/>
          <w:color w:val="0000CC"/>
        </w:rPr>
        <w:t>RRCResumeRequest</w:t>
      </w:r>
      <w:r>
        <w:rPr>
          <w:color w:val="0000CC"/>
        </w:rPr>
        <w:t xml:space="preserve"> msg</w:t>
      </w:r>
      <w:bookmarkEnd w:id="103"/>
      <w:r>
        <w:rPr>
          <w:color w:val="0000CC"/>
        </w:rPr>
        <w:t>. (understanding that some of this is dependent on SA3 outcome)?</w:t>
      </w:r>
      <w:bookmarkEnd w:id="104"/>
    </w:p>
    <w:tbl>
      <w:tblPr>
        <w:tblStyle w:val="ab"/>
        <w:tblW w:w="0" w:type="auto"/>
        <w:tblLook w:val="04A0" w:firstRow="1" w:lastRow="0" w:firstColumn="1" w:lastColumn="0" w:noHBand="0" w:noVBand="1"/>
      </w:tblPr>
      <w:tblGrid>
        <w:gridCol w:w="1975"/>
        <w:gridCol w:w="1170"/>
        <w:gridCol w:w="6205"/>
      </w:tblGrid>
      <w:tr w:rsidR="00EA567C" w14:paraId="15B4B561" w14:textId="77777777">
        <w:tc>
          <w:tcPr>
            <w:tcW w:w="1975" w:type="dxa"/>
            <w:shd w:val="clear" w:color="auto" w:fill="BFBFBF" w:themeFill="background1" w:themeFillShade="BF"/>
          </w:tcPr>
          <w:p w14:paraId="15B4B55E"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55F" w14:textId="77777777" w:rsidR="00EA567C" w:rsidRDefault="00786B2D">
            <w:pPr>
              <w:spacing w:after="0"/>
              <w:jc w:val="center"/>
              <w:rPr>
                <w:b/>
                <w:bCs/>
              </w:rPr>
            </w:pPr>
            <w:r>
              <w:rPr>
                <w:b/>
                <w:bCs/>
              </w:rPr>
              <w:t>Option(s)</w:t>
            </w:r>
          </w:p>
        </w:tc>
        <w:tc>
          <w:tcPr>
            <w:tcW w:w="6205" w:type="dxa"/>
            <w:shd w:val="clear" w:color="auto" w:fill="BFBFBF" w:themeFill="background1" w:themeFillShade="BF"/>
          </w:tcPr>
          <w:p w14:paraId="15B4B560" w14:textId="77777777" w:rsidR="00EA567C" w:rsidRDefault="00786B2D">
            <w:pPr>
              <w:spacing w:after="0"/>
              <w:jc w:val="center"/>
              <w:rPr>
                <w:b/>
                <w:bCs/>
              </w:rPr>
            </w:pPr>
            <w:r>
              <w:rPr>
                <w:b/>
                <w:bCs/>
              </w:rPr>
              <w:t>Justification</w:t>
            </w:r>
          </w:p>
        </w:tc>
      </w:tr>
      <w:tr w:rsidR="00EA567C" w14:paraId="15B4B566" w14:textId="77777777">
        <w:tc>
          <w:tcPr>
            <w:tcW w:w="1975" w:type="dxa"/>
          </w:tcPr>
          <w:p w14:paraId="15B4B562" w14:textId="77777777" w:rsidR="00EA567C" w:rsidRDefault="00786B2D">
            <w:pPr>
              <w:spacing w:after="0"/>
            </w:pPr>
            <w:r>
              <w:t>Huawei, HiSilicon</w:t>
            </w:r>
          </w:p>
        </w:tc>
        <w:tc>
          <w:tcPr>
            <w:tcW w:w="1170" w:type="dxa"/>
          </w:tcPr>
          <w:p w14:paraId="15B4B563" w14:textId="77777777" w:rsidR="00EA567C" w:rsidRDefault="00786B2D">
            <w:pPr>
              <w:spacing w:after="0"/>
            </w:pPr>
            <w:r>
              <w:t>Option 6.d) if SA3 concludes security material can be reused for this.</w:t>
            </w:r>
          </w:p>
          <w:p w14:paraId="15B4B564" w14:textId="77777777" w:rsidR="00EA567C" w:rsidRDefault="00786B2D">
            <w:pPr>
              <w:spacing w:after="0"/>
            </w:pPr>
            <w:r>
              <w:t>Option 6.e) or 6.c) if SA3 concludes security material should not be reused.</w:t>
            </w:r>
          </w:p>
        </w:tc>
        <w:tc>
          <w:tcPr>
            <w:tcW w:w="6205" w:type="dxa"/>
          </w:tcPr>
          <w:p w14:paraId="15B4B565" w14:textId="77777777" w:rsidR="00EA567C" w:rsidRDefault="00786B2D">
            <w:pPr>
              <w:spacing w:after="0"/>
            </w:pPr>
            <w:r>
              <w:t>The answer to this question depends on the SA3 reply to RAN2 LS. We think option 6.d) is a baseline behaviour, but if SA3 concludes this would cause a security issue, then option 6.e) is the simplest. In this case the security key which is used would be the same as for DCCH message in the DCCH-based non-SDT data arrival indication. Option 6.c) is another viable option, but more complex and would require more specifications changes.</w:t>
            </w:r>
          </w:p>
        </w:tc>
      </w:tr>
      <w:tr w:rsidR="00EA567C" w14:paraId="15B4B56A" w14:textId="77777777">
        <w:trPr>
          <w:trHeight w:val="43"/>
        </w:trPr>
        <w:tc>
          <w:tcPr>
            <w:tcW w:w="1975" w:type="dxa"/>
          </w:tcPr>
          <w:p w14:paraId="15B4B567" w14:textId="77777777" w:rsidR="00EA567C" w:rsidRDefault="00786B2D">
            <w:pPr>
              <w:spacing w:after="0"/>
            </w:pPr>
            <w:r>
              <w:t>ZTE</w:t>
            </w:r>
          </w:p>
        </w:tc>
        <w:tc>
          <w:tcPr>
            <w:tcW w:w="1170" w:type="dxa"/>
          </w:tcPr>
          <w:p w14:paraId="15B4B568" w14:textId="77777777" w:rsidR="00EA567C" w:rsidRDefault="00786B2D">
            <w:pPr>
              <w:spacing w:after="0"/>
            </w:pPr>
            <w:r>
              <w:t>Option 6.d)</w:t>
            </w:r>
          </w:p>
        </w:tc>
        <w:tc>
          <w:tcPr>
            <w:tcW w:w="6205" w:type="dxa"/>
          </w:tcPr>
          <w:p w14:paraId="15B4B569" w14:textId="77777777" w:rsidR="00EA567C" w:rsidRDefault="00786B2D">
            <w:pPr>
              <w:spacing w:after="0"/>
            </w:pPr>
            <w:r>
              <w:t>If there is no security issue, then option 6.d is the baseline. Other options are complex and unnecessary and have other issues and there is no time to pursue these at this time.</w:t>
            </w:r>
          </w:p>
        </w:tc>
      </w:tr>
      <w:tr w:rsidR="00EA567C" w14:paraId="15B4B56F" w14:textId="77777777">
        <w:tc>
          <w:tcPr>
            <w:tcW w:w="1975" w:type="dxa"/>
          </w:tcPr>
          <w:p w14:paraId="15B4B56B" w14:textId="77777777" w:rsidR="00EA567C" w:rsidRDefault="00786B2D">
            <w:pPr>
              <w:spacing w:after="0"/>
            </w:pPr>
            <w:r>
              <w:t>InterDigital</w:t>
            </w:r>
          </w:p>
        </w:tc>
        <w:tc>
          <w:tcPr>
            <w:tcW w:w="1170" w:type="dxa"/>
          </w:tcPr>
          <w:p w14:paraId="15B4B56C" w14:textId="77777777" w:rsidR="00EA567C" w:rsidRDefault="00786B2D">
            <w:pPr>
              <w:spacing w:after="0"/>
            </w:pPr>
            <w:r>
              <w:t>6.x</w:t>
            </w:r>
          </w:p>
        </w:tc>
        <w:tc>
          <w:tcPr>
            <w:tcW w:w="6205" w:type="dxa"/>
          </w:tcPr>
          <w:p w14:paraId="15B4B56D" w14:textId="77777777" w:rsidR="00EA567C" w:rsidRDefault="00786B2D">
            <w:pPr>
              <w:spacing w:after="0"/>
            </w:pPr>
            <w:r>
              <w:t>COUNT=2 is used for resumeMAC-I calculation for the 2</w:t>
            </w:r>
            <w:r>
              <w:rPr>
                <w:vertAlign w:val="superscript"/>
              </w:rPr>
              <w:t>nd</w:t>
            </w:r>
            <w:r>
              <w:t xml:space="preserve"> RRCResumeRequest (Note: see 33.501 subclause 6.8.2.1.3, COUNT=1 is currently always used for the resumeMAC-I calculation).</w:t>
            </w:r>
          </w:p>
          <w:p w14:paraId="15B4B56E" w14:textId="77777777" w:rsidR="00EA567C" w:rsidRDefault="00786B2D">
            <w:pPr>
              <w:spacing w:after="0"/>
            </w:pPr>
            <w:r>
              <w:t>Alternatively, COUNT=1 is used for the CCCH message of the non-SDT data indication (and the regular resumption case) and COUNT=2 is used for the SDT operation.</w:t>
            </w:r>
          </w:p>
        </w:tc>
      </w:tr>
      <w:tr w:rsidR="00EA567C" w14:paraId="15B4B573" w14:textId="77777777">
        <w:tc>
          <w:tcPr>
            <w:tcW w:w="1975" w:type="dxa"/>
          </w:tcPr>
          <w:p w14:paraId="15B4B570" w14:textId="77777777" w:rsidR="00EA567C" w:rsidRDefault="00786B2D">
            <w:pPr>
              <w:spacing w:after="0"/>
            </w:pPr>
            <w:r>
              <w:t>CATT</w:t>
            </w:r>
          </w:p>
        </w:tc>
        <w:tc>
          <w:tcPr>
            <w:tcW w:w="1170" w:type="dxa"/>
          </w:tcPr>
          <w:p w14:paraId="15B4B571" w14:textId="77777777" w:rsidR="00EA567C" w:rsidRDefault="00786B2D">
            <w:pPr>
              <w:spacing w:after="0"/>
            </w:pPr>
            <w:r>
              <w:t>Option 6.e)</w:t>
            </w:r>
          </w:p>
        </w:tc>
        <w:tc>
          <w:tcPr>
            <w:tcW w:w="6205" w:type="dxa"/>
          </w:tcPr>
          <w:p w14:paraId="15B4B572" w14:textId="77777777" w:rsidR="00EA567C" w:rsidRDefault="00786B2D">
            <w:pPr>
              <w:spacing w:after="0"/>
            </w:pPr>
            <w:r>
              <w:t>In exiting procedure, the UE calculates resumeMAC-I with the KRRCint key in the UE Inactive AS Context and the previously configured integrity protection algorithm and with all input bits for COUNT, BEARER and DIRECTION set to binary ones. In order to avoid the same keystreams for the resumeMAC-I in the two RRCResumeRequest msgs, the KRRCint key needs to be updated.</w:t>
            </w:r>
          </w:p>
        </w:tc>
      </w:tr>
      <w:tr w:rsidR="00EA567C" w14:paraId="15B4B577" w14:textId="77777777">
        <w:tc>
          <w:tcPr>
            <w:tcW w:w="1975" w:type="dxa"/>
          </w:tcPr>
          <w:p w14:paraId="15B4B574" w14:textId="77777777" w:rsidR="00EA567C" w:rsidRDefault="00786B2D">
            <w:pPr>
              <w:spacing w:after="0"/>
            </w:pPr>
            <w:r>
              <w:rPr>
                <w:rFonts w:eastAsiaTheme="minorEastAsia" w:hint="eastAsia"/>
              </w:rPr>
              <w:t>Samsung</w:t>
            </w:r>
          </w:p>
        </w:tc>
        <w:tc>
          <w:tcPr>
            <w:tcW w:w="1170" w:type="dxa"/>
          </w:tcPr>
          <w:p w14:paraId="15B4B575" w14:textId="77777777" w:rsidR="00EA567C" w:rsidRDefault="00786B2D">
            <w:pPr>
              <w:spacing w:after="0"/>
            </w:pPr>
            <w:r>
              <w:rPr>
                <w:rFonts w:eastAsiaTheme="minorEastAsia" w:hint="eastAsia"/>
              </w:rPr>
              <w:t>6.d</w:t>
            </w:r>
          </w:p>
        </w:tc>
        <w:tc>
          <w:tcPr>
            <w:tcW w:w="6205" w:type="dxa"/>
          </w:tcPr>
          <w:p w14:paraId="15B4B576" w14:textId="77777777" w:rsidR="00EA567C" w:rsidRDefault="00786B2D">
            <w:pPr>
              <w:spacing w:after="0"/>
            </w:pPr>
            <w:r>
              <w:rPr>
                <w:rFonts w:eastAsiaTheme="minorEastAsia"/>
              </w:rPr>
              <w:t>if SA3 concludes that there is security issue in using 6.d, we can simply follow SA3's suggestion on alternative solution</w:t>
            </w:r>
          </w:p>
        </w:tc>
      </w:tr>
      <w:tr w:rsidR="00EA567C" w14:paraId="15B4B57B" w14:textId="77777777">
        <w:tc>
          <w:tcPr>
            <w:tcW w:w="1975" w:type="dxa"/>
          </w:tcPr>
          <w:p w14:paraId="15B4B578" w14:textId="77777777" w:rsidR="00EA567C" w:rsidRDefault="00786B2D">
            <w:pPr>
              <w:spacing w:after="0"/>
              <w:rPr>
                <w:rFonts w:eastAsiaTheme="minorEastAsia"/>
              </w:rPr>
            </w:pPr>
            <w:r>
              <w:rPr>
                <w:rFonts w:eastAsiaTheme="minorEastAsia" w:hint="eastAsia"/>
              </w:rPr>
              <w:t>Fujitsu</w:t>
            </w:r>
          </w:p>
        </w:tc>
        <w:tc>
          <w:tcPr>
            <w:tcW w:w="1170" w:type="dxa"/>
          </w:tcPr>
          <w:p w14:paraId="15B4B579" w14:textId="77777777" w:rsidR="00EA567C" w:rsidRDefault="00786B2D">
            <w:pPr>
              <w:spacing w:after="0"/>
              <w:rPr>
                <w:rFonts w:eastAsiaTheme="minorEastAsia"/>
              </w:rPr>
            </w:pPr>
            <w:r>
              <w:rPr>
                <w:rFonts w:eastAsiaTheme="minorEastAsia" w:hint="eastAsia"/>
              </w:rPr>
              <w:t>Option 6.e)</w:t>
            </w:r>
          </w:p>
        </w:tc>
        <w:tc>
          <w:tcPr>
            <w:tcW w:w="6205" w:type="dxa"/>
          </w:tcPr>
          <w:p w14:paraId="15B4B57A" w14:textId="77777777" w:rsidR="00EA567C" w:rsidRDefault="00786B2D">
            <w:pPr>
              <w:spacing w:after="0"/>
              <w:rPr>
                <w:rFonts w:eastAsiaTheme="minorEastAsia"/>
              </w:rPr>
            </w:pPr>
            <w:r>
              <w:rPr>
                <w:rFonts w:eastAsiaTheme="minorEastAsia" w:hint="eastAsia"/>
              </w:rPr>
              <w:t>We think that the starting point is the legacy behaviour.</w:t>
            </w:r>
            <w:r>
              <w:rPr>
                <w:rFonts w:eastAsiaTheme="minorEastAsia"/>
              </w:rPr>
              <w:t xml:space="preserve"> As commented in Q13, horizontal derivation of </w:t>
            </w:r>
            <w:r>
              <w:t>K</w:t>
            </w:r>
            <w:r>
              <w:rPr>
                <w:vertAlign w:val="subscript"/>
              </w:rPr>
              <w:t>RRCint</w:t>
            </w:r>
            <w:r>
              <w:t xml:space="preserve"> key can be considered according to 2</w:t>
            </w:r>
            <w:r>
              <w:rPr>
                <w:vertAlign w:val="superscript"/>
              </w:rPr>
              <w:t>nd</w:t>
            </w:r>
            <w:r>
              <w:t xml:space="preserve"> RRCResumeRequest msg.</w:t>
            </w:r>
          </w:p>
        </w:tc>
      </w:tr>
      <w:tr w:rsidR="00EA567C" w14:paraId="15B4B57F" w14:textId="77777777">
        <w:tc>
          <w:tcPr>
            <w:tcW w:w="1975" w:type="dxa"/>
          </w:tcPr>
          <w:p w14:paraId="15B4B57C"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57D" w14:textId="77777777" w:rsidR="00EA567C" w:rsidRDefault="00786B2D">
            <w:pPr>
              <w:spacing w:after="0"/>
              <w:rPr>
                <w:rFonts w:eastAsia="Malgun Gothic"/>
                <w:lang w:eastAsia="ko-KR"/>
              </w:rPr>
            </w:pPr>
            <w:r>
              <w:rPr>
                <w:rFonts w:eastAsia="Malgun Gothic" w:hint="eastAsia"/>
                <w:lang w:eastAsia="ko-KR"/>
              </w:rPr>
              <w:t>Too early to discuss</w:t>
            </w:r>
          </w:p>
        </w:tc>
        <w:tc>
          <w:tcPr>
            <w:tcW w:w="6205" w:type="dxa"/>
          </w:tcPr>
          <w:p w14:paraId="15B4B57E" w14:textId="77777777" w:rsidR="00EA567C" w:rsidRDefault="00786B2D">
            <w:pPr>
              <w:spacing w:after="0"/>
              <w:rPr>
                <w:rFonts w:eastAsia="Malgun Gothic"/>
                <w:lang w:eastAsia="ko-KR"/>
              </w:rPr>
            </w:pPr>
            <w:r>
              <w:rPr>
                <w:rFonts w:eastAsia="Malgun Gothic" w:hint="eastAsia"/>
                <w:lang w:eastAsia="ko-KR"/>
              </w:rPr>
              <w:t xml:space="preserve">We think 6.d is the </w:t>
            </w:r>
            <w:r>
              <w:rPr>
                <w:rFonts w:eastAsia="Malgun Gothic"/>
                <w:lang w:eastAsia="ko-KR"/>
              </w:rPr>
              <w:t>current</w:t>
            </w:r>
            <w:r>
              <w:rPr>
                <w:rFonts w:eastAsia="Malgun Gothic" w:hint="eastAsia"/>
                <w:lang w:eastAsia="ko-KR"/>
              </w:rPr>
              <w:t xml:space="preserve"> behavior</w:t>
            </w:r>
            <w:r>
              <w:rPr>
                <w:rFonts w:eastAsia="Malgun Gothic"/>
                <w:lang w:eastAsia="ko-KR"/>
              </w:rPr>
              <w:t>, and needs to be checked with SA3 whether this behavior causes any security problem. If SA3 think there is security problem, then we can discuss solutions.</w:t>
            </w:r>
          </w:p>
        </w:tc>
      </w:tr>
      <w:tr w:rsidR="00A50B88" w14:paraId="70136858" w14:textId="77777777">
        <w:tc>
          <w:tcPr>
            <w:tcW w:w="1975" w:type="dxa"/>
          </w:tcPr>
          <w:p w14:paraId="7B8EBCD7" w14:textId="3E874416" w:rsidR="00A50B88" w:rsidRDefault="00A50B88" w:rsidP="00A50B88">
            <w:pPr>
              <w:spacing w:after="0"/>
              <w:rPr>
                <w:rFonts w:eastAsia="Malgun Gothic"/>
                <w:lang w:eastAsia="ko-KR"/>
              </w:rPr>
            </w:pPr>
            <w:r>
              <w:t>Intel</w:t>
            </w:r>
          </w:p>
        </w:tc>
        <w:tc>
          <w:tcPr>
            <w:tcW w:w="1170" w:type="dxa"/>
          </w:tcPr>
          <w:p w14:paraId="2DEF764C" w14:textId="664BE36C" w:rsidR="00A50B88" w:rsidRDefault="00A50B88" w:rsidP="00A50B88">
            <w:pPr>
              <w:spacing w:after="0"/>
              <w:rPr>
                <w:rFonts w:eastAsia="Malgun Gothic"/>
                <w:lang w:eastAsia="ko-KR"/>
              </w:rPr>
            </w:pPr>
            <w:r>
              <w:t>See comments</w:t>
            </w:r>
          </w:p>
        </w:tc>
        <w:tc>
          <w:tcPr>
            <w:tcW w:w="6205" w:type="dxa"/>
          </w:tcPr>
          <w:p w14:paraId="1C747F39" w14:textId="77777777" w:rsidR="00A50B88" w:rsidRDefault="00A50B88" w:rsidP="00A50B88">
            <w:pPr>
              <w:spacing w:after="0"/>
            </w:pPr>
            <w:r>
              <w:t>Firstly, we want to clarify our understanding on the proposed options above described via the following details and figures:</w:t>
            </w:r>
          </w:p>
          <w:p w14:paraId="3C4171D1" w14:textId="77777777" w:rsidR="00A50B88" w:rsidRDefault="00A50B88" w:rsidP="00A50B88">
            <w:pPr>
              <w:spacing w:after="0"/>
            </w:pPr>
          </w:p>
          <w:p w14:paraId="35B83D09" w14:textId="77777777" w:rsidR="00A50B88" w:rsidRDefault="00A50B88" w:rsidP="00A50B88">
            <w:pPr>
              <w:spacing w:after="0"/>
            </w:pPr>
            <w:r>
              <w:t xml:space="preserve">=&gt; </w:t>
            </w:r>
            <w:r>
              <w:rPr>
                <w:b/>
                <w:bCs/>
              </w:rPr>
              <w:t>Option 6.a) and 6.e)</w:t>
            </w:r>
            <w:r>
              <w:t xml:space="preserve"> seems the same to us but described differently where UE uses the NCC_1 (that was provided in last </w:t>
            </w:r>
            <w:r>
              <w:rPr>
                <w:i/>
                <w:iCs/>
              </w:rPr>
              <w:t>RRCRelease</w:t>
            </w:r>
            <w:r>
              <w:t xml:space="preserve"> msg) to generate </w:t>
            </w:r>
            <w:r>
              <w:rPr>
                <w:i/>
                <w:iCs/>
              </w:rPr>
              <w:t>resumeMAC-I</w:t>
            </w:r>
            <w:r>
              <w:t xml:space="preserve"> included in 2</w:t>
            </w:r>
            <w:r>
              <w:rPr>
                <w:vertAlign w:val="superscript"/>
              </w:rPr>
              <w:t>nd</w:t>
            </w:r>
            <w:r>
              <w:t xml:space="preserve"> </w:t>
            </w:r>
            <w:r>
              <w:rPr>
                <w:i/>
                <w:iCs/>
              </w:rPr>
              <w:t>RRCResumeRequest</w:t>
            </w:r>
            <w:r>
              <w:t>, as shown in Figure 1 below. This would require a change to current resume procedure.</w:t>
            </w:r>
          </w:p>
          <w:p w14:paraId="780A6180" w14:textId="77777777" w:rsidR="00A50B88" w:rsidRDefault="00A50B88" w:rsidP="00A50B88">
            <w:pPr>
              <w:spacing w:after="0"/>
            </w:pPr>
            <w:r>
              <w:rPr>
                <w:rFonts w:asciiTheme="minorHAnsi" w:eastAsia="PMingLiU" w:hAnsiTheme="minorHAnsi" w:cstheme="minorBidi"/>
                <w:sz w:val="22"/>
                <w:szCs w:val="22"/>
                <w:lang w:eastAsia="en-US"/>
              </w:rPr>
              <w:object w:dxaOrig="5964" w:dyaOrig="4428" w14:anchorId="08608180">
                <v:shape id="_x0000_i1026" type="#_x0000_t75" style="width:297.95pt;height:221.55pt" o:ole="">
                  <v:imagedata r:id="rId16" o:title=""/>
                </v:shape>
                <o:OLEObject Type="Embed" ProgID="Visio.Drawing.15" ShapeID="_x0000_i1026" DrawAspect="Content" ObjectID="_1688365984" r:id="rId17"/>
              </w:object>
            </w:r>
          </w:p>
          <w:p w14:paraId="414B6688" w14:textId="77777777" w:rsidR="00A50B88" w:rsidRDefault="00A50B88" w:rsidP="00A50B88">
            <w:pPr>
              <w:spacing w:after="0"/>
            </w:pPr>
          </w:p>
          <w:p w14:paraId="04A95324" w14:textId="77777777" w:rsidR="00A50B88" w:rsidRDefault="00A50B88" w:rsidP="00A50B88">
            <w:pPr>
              <w:spacing w:after="0"/>
            </w:pPr>
            <w:r>
              <w:t xml:space="preserve">=&gt; </w:t>
            </w:r>
            <w:r>
              <w:rPr>
                <w:b/>
                <w:bCs/>
              </w:rPr>
              <w:t>Option 6.d)</w:t>
            </w:r>
            <w:r>
              <w:t xml:space="preserve"> uses the same securityKey_0 used for 1</w:t>
            </w:r>
            <w:r>
              <w:rPr>
                <w:vertAlign w:val="superscript"/>
              </w:rPr>
              <w:t>st</w:t>
            </w:r>
            <w:r>
              <w:t xml:space="preserve"> RRCResumeRequest when initiating the SDT session and for the 2</w:t>
            </w:r>
            <w:r>
              <w:rPr>
                <w:vertAlign w:val="superscript"/>
              </w:rPr>
              <w:t>nd</w:t>
            </w:r>
            <w:r>
              <w:t xml:space="preserve"> RRCResumeRequest. This would follow legacy resume procedure (as shown on the TS reference copied above Q.14) “</w:t>
            </w:r>
            <w:r>
              <w:rPr>
                <w:i/>
                <w:iCs/>
              </w:rPr>
              <w:t>with the K</w:t>
            </w:r>
            <w:r>
              <w:rPr>
                <w:i/>
                <w:iCs/>
                <w:vertAlign w:val="subscript"/>
              </w:rPr>
              <w:t>RRCint</w:t>
            </w:r>
            <w:r>
              <w:rPr>
                <w:i/>
                <w:iCs/>
              </w:rPr>
              <w:t xml:space="preserve">  key in the UE Inactive AS Context</w:t>
            </w:r>
            <w:r>
              <w:t xml:space="preserve">”) assuming security key stored in the UE AS Inactive Context is not updated during an ongoing SDT session. </w:t>
            </w:r>
          </w:p>
          <w:p w14:paraId="6EE7367C" w14:textId="77777777" w:rsidR="00A50B88" w:rsidRDefault="00A50B88" w:rsidP="00A50B88">
            <w:pPr>
              <w:spacing w:after="0"/>
            </w:pPr>
            <w:r>
              <w:rPr>
                <w:rFonts w:asciiTheme="minorHAnsi" w:eastAsia="PMingLiU" w:hAnsiTheme="minorHAnsi" w:cstheme="minorBidi"/>
                <w:sz w:val="22"/>
                <w:szCs w:val="22"/>
                <w:lang w:eastAsia="en-US"/>
              </w:rPr>
              <w:object w:dxaOrig="5964" w:dyaOrig="4428" w14:anchorId="7954C81D">
                <v:shape id="_x0000_i1027" type="#_x0000_t75" style="width:297.95pt;height:221.55pt" o:ole="">
                  <v:imagedata r:id="rId18" o:title=""/>
                </v:shape>
                <o:OLEObject Type="Embed" ProgID="Visio.Drawing.15" ShapeID="_x0000_i1027" DrawAspect="Content" ObjectID="_1688365985" r:id="rId19"/>
              </w:object>
            </w:r>
          </w:p>
          <w:p w14:paraId="37222BE8" w14:textId="77777777" w:rsidR="00A50B88" w:rsidRDefault="00A50B88" w:rsidP="00A50B88">
            <w:pPr>
              <w:spacing w:after="0"/>
            </w:pPr>
          </w:p>
          <w:p w14:paraId="34FB3CAC" w14:textId="77777777" w:rsidR="00A50B88" w:rsidRDefault="00A50B88" w:rsidP="00A50B88">
            <w:pPr>
              <w:spacing w:after="0"/>
            </w:pPr>
            <w:r>
              <w:t xml:space="preserve">=&gt; </w:t>
            </w:r>
            <w:r>
              <w:rPr>
                <w:b/>
                <w:bCs/>
              </w:rPr>
              <w:t>Option 6.b)</w:t>
            </w:r>
            <w:r>
              <w:t xml:space="preserve"> A new securityKey_2 generated doing horizontal key derivation of NCC_1 is used for the data and alternatively it could also be used for the 2</w:t>
            </w:r>
            <w:r>
              <w:rPr>
                <w:vertAlign w:val="superscript"/>
              </w:rPr>
              <w:t>nd</w:t>
            </w:r>
            <w:r>
              <w:t xml:space="preserve"> </w:t>
            </w:r>
            <w:r>
              <w:rPr>
                <w:i/>
                <w:iCs/>
              </w:rPr>
              <w:t>RRCResumeRequest</w:t>
            </w:r>
            <w:r>
              <w:t xml:space="preserve"> (or even previous security_Key_1). This may require a change to current resume procedure.</w:t>
            </w:r>
          </w:p>
          <w:p w14:paraId="255360B6" w14:textId="77777777" w:rsidR="00A50B88" w:rsidRDefault="00A50B88" w:rsidP="00A50B88">
            <w:pPr>
              <w:spacing w:after="0"/>
            </w:pPr>
            <w:r>
              <w:rPr>
                <w:rFonts w:asciiTheme="minorHAnsi" w:eastAsia="PMingLiU" w:hAnsiTheme="minorHAnsi" w:cstheme="minorBidi"/>
                <w:sz w:val="22"/>
                <w:szCs w:val="22"/>
                <w:lang w:eastAsia="en-US"/>
              </w:rPr>
              <w:object w:dxaOrig="5964" w:dyaOrig="4428" w14:anchorId="448DFEB7">
                <v:shape id="_x0000_i1028" type="#_x0000_t75" style="width:297.95pt;height:221.55pt" o:ole="">
                  <v:imagedata r:id="rId20" o:title=""/>
                </v:shape>
                <o:OLEObject Type="Embed" ProgID="Visio.Drawing.15" ShapeID="_x0000_i1028" DrawAspect="Content" ObjectID="_1688365986" r:id="rId21"/>
              </w:object>
            </w:r>
          </w:p>
          <w:p w14:paraId="0AB1F1E0" w14:textId="77777777" w:rsidR="00A50B88" w:rsidRDefault="00A50B88" w:rsidP="00A50B88">
            <w:pPr>
              <w:spacing w:after="0"/>
            </w:pPr>
          </w:p>
          <w:p w14:paraId="6798C3FD" w14:textId="77777777" w:rsidR="00A50B88" w:rsidRDefault="00A50B88" w:rsidP="00A50B88">
            <w:pPr>
              <w:spacing w:after="0"/>
            </w:pPr>
            <w:r>
              <w:t xml:space="preserve">=&gt; </w:t>
            </w:r>
            <w:r>
              <w:rPr>
                <w:b/>
                <w:bCs/>
              </w:rPr>
              <w:t>Option 6.c)</w:t>
            </w:r>
            <w:r>
              <w:t xml:space="preserve"> uses a new NCC_3 provided by the gNB_2 as soon as UE starts the SDT session. This would require a change to current resume procedure but as part of SDT operation.</w:t>
            </w:r>
          </w:p>
          <w:p w14:paraId="6AA3A1CA" w14:textId="77777777" w:rsidR="00A50B88" w:rsidRDefault="00A50B88" w:rsidP="00A50B88">
            <w:pPr>
              <w:spacing w:after="0"/>
            </w:pPr>
            <w:r>
              <w:rPr>
                <w:rFonts w:asciiTheme="minorHAnsi" w:eastAsia="PMingLiU" w:hAnsiTheme="minorHAnsi" w:cstheme="minorBidi"/>
                <w:sz w:val="22"/>
                <w:szCs w:val="22"/>
                <w:lang w:eastAsia="en-US"/>
              </w:rPr>
              <w:object w:dxaOrig="5964" w:dyaOrig="5088" w14:anchorId="167187D4">
                <v:shape id="_x0000_i1029" type="#_x0000_t75" style="width:297.95pt;height:254.2pt" o:ole="">
                  <v:imagedata r:id="rId22" o:title=""/>
                </v:shape>
                <o:OLEObject Type="Embed" ProgID="Visio.Drawing.15" ShapeID="_x0000_i1029" DrawAspect="Content" ObjectID="_1688365987" r:id="rId23"/>
              </w:object>
            </w:r>
          </w:p>
          <w:p w14:paraId="2282BD44" w14:textId="77777777" w:rsidR="00A50B88" w:rsidRDefault="00A50B88" w:rsidP="00A50B88">
            <w:pPr>
              <w:spacing w:after="0"/>
            </w:pPr>
          </w:p>
          <w:p w14:paraId="0CA3AF5A" w14:textId="77777777" w:rsidR="00A50B88" w:rsidRDefault="00A50B88" w:rsidP="00A50B88">
            <w:pPr>
              <w:spacing w:after="0"/>
            </w:pPr>
            <w:r>
              <w:t xml:space="preserve">To determine which approach may be preferable, SA3/RAN3 input/confirmation may be required as there are many factors to consider such as PDCP COUNT is reset, whether anchoring is used, which node processes ResumeMac-I, C-RNTI used for ResumeMAC-I calculation. </w:t>
            </w:r>
          </w:p>
          <w:p w14:paraId="7E8AB468" w14:textId="77777777" w:rsidR="00A50B88" w:rsidRDefault="00A50B88" w:rsidP="00A50B88">
            <w:pPr>
              <w:pStyle w:val="a9"/>
              <w:numPr>
                <w:ilvl w:val="0"/>
                <w:numId w:val="57"/>
              </w:numPr>
              <w:spacing w:after="0" w:line="256" w:lineRule="auto"/>
            </w:pPr>
            <w:r>
              <w:t>If PDCP COUNT is reset (as discussed in Q.12)), the same security key cannot be used for the 2</w:t>
            </w:r>
            <w:r>
              <w:rPr>
                <w:vertAlign w:val="superscript"/>
              </w:rPr>
              <w:t>nd</w:t>
            </w:r>
            <w:r>
              <w:t xml:space="preserve"> time. Therefore, only options 6.b), 6.c) could be used.</w:t>
            </w:r>
          </w:p>
          <w:p w14:paraId="2A37FA23" w14:textId="77777777" w:rsidR="00A50B88" w:rsidRDefault="00A50B88" w:rsidP="00A50B88">
            <w:pPr>
              <w:pStyle w:val="a9"/>
              <w:numPr>
                <w:ilvl w:val="0"/>
                <w:numId w:val="57"/>
              </w:numPr>
              <w:spacing w:after="0" w:line="256" w:lineRule="auto"/>
            </w:pPr>
            <w:r>
              <w:lastRenderedPageBreak/>
              <w:t>If PDCP COUNT is not reset (as discussed in Q.12)), the same security key can also be used for the 2</w:t>
            </w:r>
            <w:r>
              <w:rPr>
                <w:vertAlign w:val="superscript"/>
              </w:rPr>
              <w:t>nd</w:t>
            </w:r>
            <w:r>
              <w:t xml:space="preserve"> time. To determine if any of the options is or not feasible RAN3 and SA3 input would be required considering e.g.</w:t>
            </w:r>
          </w:p>
          <w:p w14:paraId="4083CA09" w14:textId="77777777" w:rsidR="00A50B88" w:rsidRDefault="00A50B88" w:rsidP="00A50B88">
            <w:pPr>
              <w:pStyle w:val="a9"/>
              <w:numPr>
                <w:ilvl w:val="1"/>
                <w:numId w:val="57"/>
              </w:numPr>
              <w:spacing w:after="0" w:line="256" w:lineRule="auto"/>
            </w:pPr>
            <w:r>
              <w:t xml:space="preserve"> If anchor gNB (gNB_1) is not relocated during the SDT session, options 6e)/6.a) and 6.d) may have problems as gNB2 would use the same securityKey_1 for the data after 2</w:t>
            </w:r>
            <w:r>
              <w:rPr>
                <w:vertAlign w:val="superscript"/>
              </w:rPr>
              <w:t>nd</w:t>
            </w:r>
            <w:r>
              <w:t xml:space="preserve"> RRCResumeReq is sent.</w:t>
            </w:r>
          </w:p>
          <w:p w14:paraId="1AEA9363" w14:textId="77777777" w:rsidR="00A50B88" w:rsidRDefault="00A50B88" w:rsidP="00A50B88">
            <w:pPr>
              <w:pStyle w:val="a9"/>
              <w:numPr>
                <w:ilvl w:val="1"/>
                <w:numId w:val="57"/>
              </w:numPr>
              <w:spacing w:after="0" w:line="256" w:lineRule="auto"/>
            </w:pPr>
            <w:r>
              <w:t>If anchor gNB (gNB_1) is fully relocated to serving gNB (gNB_2) during the SDT session, option 6.d) would not work as gNB_2 is not aware of securityKey_0. This would depend on RAN3 design of the context relocation for SDT operation.</w:t>
            </w:r>
          </w:p>
          <w:p w14:paraId="342507D2" w14:textId="77777777" w:rsidR="00A50B88" w:rsidRDefault="00A50B88" w:rsidP="00A50B88">
            <w:pPr>
              <w:pStyle w:val="a9"/>
              <w:numPr>
                <w:ilvl w:val="1"/>
                <w:numId w:val="57"/>
              </w:numPr>
              <w:spacing w:after="0" w:line="256" w:lineRule="auto"/>
            </w:pPr>
            <w:r>
              <w:t>After 2</w:t>
            </w:r>
            <w:r>
              <w:rPr>
                <w:vertAlign w:val="superscript"/>
              </w:rPr>
              <w:t>nd</w:t>
            </w:r>
            <w:r>
              <w:t xml:space="preserve"> RRCResumeReq is sent, SA3 would need to confirm whether the same securityKey_1 used during the SDT session can be used when switching to CONNECTED as it may not provide key separation between nodes (depending on which node processes the ResumeMAC-I).</w:t>
            </w:r>
          </w:p>
          <w:p w14:paraId="0BA9C860" w14:textId="77777777" w:rsidR="00A50B88" w:rsidRDefault="00A50B88" w:rsidP="00A50B88">
            <w:pPr>
              <w:spacing w:after="0"/>
            </w:pPr>
            <w:r>
              <w:t xml:space="preserve">In addition, SA3 input may be required to understand which </w:t>
            </w:r>
            <w:r>
              <w:rPr>
                <w:i/>
                <w:iCs/>
              </w:rPr>
              <w:t xml:space="preserve">source-c-RNTI </w:t>
            </w:r>
            <w:r>
              <w:t xml:space="preserve">should use when calculating the </w:t>
            </w:r>
            <w:r>
              <w:rPr>
                <w:i/>
                <w:iCs/>
              </w:rPr>
              <w:t>VarResumeMAC-Input</w:t>
            </w:r>
            <w:r>
              <w:t>  for the 2</w:t>
            </w:r>
            <w:r>
              <w:rPr>
                <w:vertAlign w:val="superscript"/>
              </w:rPr>
              <w:t>nd</w:t>
            </w:r>
            <w:r>
              <w:t xml:space="preserve"> RRCResumeRequest. E.g. should this be the one used when UE was previously CONNECTED or new on in used during the SDT operation.</w:t>
            </w:r>
          </w:p>
          <w:p w14:paraId="0B78D07D" w14:textId="77777777" w:rsidR="00A50B88" w:rsidRDefault="00A50B88" w:rsidP="00A50B88">
            <w:pPr>
              <w:spacing w:after="0"/>
              <w:ind w:left="720"/>
              <w:rPr>
                <w:i/>
                <w:iCs/>
              </w:rPr>
            </w:pPr>
            <w:r>
              <w:rPr>
                <w:i/>
                <w:iCs/>
              </w:rPr>
              <w:t xml:space="preserve">VarResumeMAC-Input  ::=     SEQUENCE </w:t>
            </w:r>
          </w:p>
          <w:p w14:paraId="34E2F512" w14:textId="77777777" w:rsidR="00A50B88" w:rsidRDefault="00A50B88" w:rsidP="00A50B88">
            <w:pPr>
              <w:spacing w:after="0"/>
              <w:ind w:left="720"/>
              <w:rPr>
                <w:i/>
                <w:iCs/>
              </w:rPr>
            </w:pPr>
            <w:r>
              <w:rPr>
                <w:i/>
                <w:iCs/>
              </w:rPr>
              <w:t xml:space="preserve">{    sourcePhysCellId                        PhysCellId,    </w:t>
            </w:r>
          </w:p>
          <w:p w14:paraId="01E08D15" w14:textId="77777777" w:rsidR="00A50B88" w:rsidRDefault="00A50B88" w:rsidP="00A50B88">
            <w:pPr>
              <w:spacing w:after="0"/>
              <w:ind w:left="720"/>
              <w:rPr>
                <w:i/>
                <w:iCs/>
              </w:rPr>
            </w:pPr>
            <w:r>
              <w:rPr>
                <w:i/>
                <w:iCs/>
              </w:rPr>
              <w:t xml:space="preserve">      targetCellIdentity                      CellIdentity,    </w:t>
            </w:r>
          </w:p>
          <w:p w14:paraId="1E91146E" w14:textId="77777777" w:rsidR="00A50B88" w:rsidRDefault="00A50B88" w:rsidP="00A50B88">
            <w:pPr>
              <w:spacing w:after="0"/>
              <w:ind w:left="720"/>
            </w:pPr>
            <w:r>
              <w:rPr>
                <w:i/>
                <w:iCs/>
              </w:rPr>
              <w:t xml:space="preserve">      source-c-RNTI                           RNTI-Value   }</w:t>
            </w:r>
          </w:p>
          <w:p w14:paraId="569A148E" w14:textId="3EC98379" w:rsidR="00A50B88" w:rsidRDefault="00A50B88" w:rsidP="00A50B88">
            <w:pPr>
              <w:spacing w:after="0"/>
              <w:rPr>
                <w:rFonts w:eastAsia="Malgun Gothic"/>
                <w:lang w:eastAsia="ko-KR"/>
              </w:rPr>
            </w:pPr>
            <w:r>
              <w:t>On summary, SA3, RAN3 input/confirmation may be required on any solution that RAN2 may preferred.</w:t>
            </w:r>
          </w:p>
        </w:tc>
      </w:tr>
      <w:tr w:rsidR="00D56910" w14:paraId="1C226C76" w14:textId="77777777">
        <w:tc>
          <w:tcPr>
            <w:tcW w:w="1975" w:type="dxa"/>
          </w:tcPr>
          <w:p w14:paraId="6FF4A522" w14:textId="6E66B8F9" w:rsidR="00D56910" w:rsidRDefault="00D56910" w:rsidP="00D56910">
            <w:pPr>
              <w:spacing w:after="0"/>
            </w:pPr>
            <w:r>
              <w:rPr>
                <w:rFonts w:hint="eastAsia"/>
                <w:lang w:eastAsia="zh-CN"/>
              </w:rPr>
              <w:lastRenderedPageBreak/>
              <w:t>N</w:t>
            </w:r>
            <w:r>
              <w:rPr>
                <w:lang w:eastAsia="zh-CN"/>
              </w:rPr>
              <w:t>EC</w:t>
            </w:r>
          </w:p>
        </w:tc>
        <w:tc>
          <w:tcPr>
            <w:tcW w:w="1170" w:type="dxa"/>
          </w:tcPr>
          <w:p w14:paraId="176FFC4B" w14:textId="75D30E5B" w:rsidR="00D56910" w:rsidRDefault="00D56910" w:rsidP="00D56910">
            <w:pPr>
              <w:spacing w:after="0"/>
            </w:pPr>
            <w:r>
              <w:rPr>
                <w:rFonts w:hint="eastAsia"/>
                <w:lang w:eastAsia="zh-CN"/>
              </w:rPr>
              <w:t>O</w:t>
            </w:r>
            <w:r>
              <w:t>ption 6.d, (</w:t>
            </w:r>
            <w:r>
              <w:rPr>
                <w:lang w:eastAsia="zh-CN"/>
              </w:rPr>
              <w:t>should be confirmed by SA3)</w:t>
            </w:r>
          </w:p>
        </w:tc>
        <w:tc>
          <w:tcPr>
            <w:tcW w:w="6205" w:type="dxa"/>
          </w:tcPr>
          <w:p w14:paraId="3E2E954C" w14:textId="3CDABA76" w:rsidR="00D56910" w:rsidRDefault="00D56910" w:rsidP="00D56910">
            <w:pPr>
              <w:spacing w:after="0"/>
            </w:pPr>
            <w:r>
              <w:rPr>
                <w:rFonts w:hint="eastAsia"/>
                <w:lang w:eastAsia="zh-CN"/>
              </w:rPr>
              <w:t>O</w:t>
            </w:r>
            <w:r>
              <w:t>ption 6.d is the baseline if there is no security issue confirmed by SA3.</w:t>
            </w:r>
            <w:r>
              <w:rPr>
                <w:rFonts w:hint="eastAsia"/>
                <w:lang w:eastAsia="zh-CN"/>
              </w:rPr>
              <w:t xml:space="preserve"> I</w:t>
            </w:r>
            <w:r>
              <w:rPr>
                <w:lang w:eastAsia="zh-CN"/>
              </w:rPr>
              <w:t>f SA3 conclude that there is security issue, it is up to their decision on what solution to be applied.</w:t>
            </w:r>
          </w:p>
        </w:tc>
      </w:tr>
    </w:tbl>
    <w:p w14:paraId="15B4B580" w14:textId="77777777" w:rsidR="00EA567C" w:rsidRDefault="00EA567C">
      <w:pPr>
        <w:rPr>
          <w:rFonts w:ascii="Times New Roman" w:hAnsi="Times New Roman" w:cs="Times New Roman"/>
          <w:sz w:val="20"/>
          <w:szCs w:val="20"/>
        </w:rPr>
      </w:pPr>
    </w:p>
    <w:p w14:paraId="15B4B581" w14:textId="77777777" w:rsidR="00EA567C" w:rsidRDefault="00786B2D">
      <w:pPr>
        <w:pStyle w:val="3"/>
      </w:pPr>
      <w:r>
        <w:rPr>
          <w:lang w:val="en-US"/>
        </w:rPr>
        <w:t>[CCCH p</w:t>
      </w:r>
      <w:r>
        <w:t>oint (6)</w:t>
      </w:r>
      <w:r>
        <w:rPr>
          <w:lang w:val="en-US"/>
        </w:rPr>
        <w:t>]</w:t>
      </w:r>
      <w:r>
        <w:t xml:space="preserve"> Identification of UE AS context in the network</w:t>
      </w:r>
    </w:p>
    <w:p w14:paraId="15B4B582"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For legacy resume procedure, the release of the UE context from the anchor gNB0 is done upon completion of the path switch with the AMF and the serving gNB. However for SDT option, when to release the UE AS context from the anchor gNB may require further discussion considering inputs in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_Ref74088665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[11]</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_Ref74088671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[17]</w:t>
      </w:r>
      <w:r>
        <w:rPr>
          <w:rFonts w:ascii="Times New Roman" w:hAnsi="Times New Roman" w:cs="Times New Roman"/>
          <w:sz w:val="20"/>
          <w:szCs w:val="20"/>
        </w:rPr>
        <w:fldChar w:fldCharType="end"/>
      </w:r>
      <w:r>
        <w:rPr>
          <w:rFonts w:ascii="Times New Roman" w:hAnsi="Times New Roman" w:cs="Times New Roman"/>
          <w:sz w:val="20"/>
          <w:szCs w:val="20"/>
        </w:rPr>
        <w:t xml:space="preserve">. The possible options are the following (as shown in </w:t>
      </w:r>
      <w:r>
        <w:rPr>
          <w:rFonts w:ascii="Times New Roman" w:hAnsi="Times New Roman" w:cs="Times New Roman"/>
          <w:sz w:val="20"/>
          <w:szCs w:val="20"/>
          <w:highlight w:val="yellow"/>
        </w:rPr>
        <w:fldChar w:fldCharType="begin"/>
      </w:r>
      <w:r>
        <w:rPr>
          <w:rFonts w:ascii="Times New Roman" w:hAnsi="Times New Roman" w:cs="Times New Roman"/>
          <w:sz w:val="20"/>
          <w:szCs w:val="20"/>
        </w:rPr>
        <w:instrText xml:space="preserve"> REF _Ref74171790 \h </w:instrText>
      </w:r>
      <w:r>
        <w:rPr>
          <w:rFonts w:ascii="Times New Roman" w:hAnsi="Times New Roman" w:cs="Times New Roman"/>
          <w:sz w:val="20"/>
          <w:szCs w:val="20"/>
          <w:highlight w:val="yellow"/>
        </w:rPr>
      </w:r>
      <w:r>
        <w:rPr>
          <w:rFonts w:ascii="Times New Roman" w:hAnsi="Times New Roman" w:cs="Times New Roman"/>
          <w:sz w:val="20"/>
          <w:szCs w:val="20"/>
          <w:highlight w:val="yellow"/>
        </w:rPr>
        <w:fldChar w:fldCharType="separate"/>
      </w:r>
      <w:r>
        <w:rPr>
          <w:rFonts w:ascii="Times New Roman" w:hAnsi="Times New Roman" w:cs="Times New Roman"/>
          <w:sz w:val="20"/>
          <w:szCs w:val="20"/>
        </w:rPr>
        <w:t xml:space="preserve">Figure </w:t>
      </w:r>
      <w:r>
        <w:rPr>
          <w:rFonts w:ascii="Times New Roman" w:hAnsi="Times New Roman" w:cs="Times New Roman"/>
          <w:noProof/>
          <w:sz w:val="20"/>
          <w:szCs w:val="20"/>
        </w:rPr>
        <w:t>2</w:t>
      </w:r>
      <w:r>
        <w:rPr>
          <w:rFonts w:ascii="Times New Roman" w:hAnsi="Times New Roman" w:cs="Times New Roman"/>
          <w:sz w:val="20"/>
          <w:szCs w:val="20"/>
          <w:highlight w:val="yellow"/>
        </w:rPr>
        <w:fldChar w:fldCharType="end"/>
      </w:r>
      <w:r>
        <w:rPr>
          <w:rFonts w:ascii="Times New Roman" w:hAnsi="Times New Roman" w:cs="Times New Roman"/>
          <w:sz w:val="20"/>
          <w:szCs w:val="20"/>
        </w:rPr>
        <w:t>):</w:t>
      </w:r>
    </w:p>
    <w:p w14:paraId="15B4B583" w14:textId="77777777" w:rsidR="00EA567C" w:rsidRDefault="00786B2D">
      <w:pPr>
        <w:pStyle w:val="a9"/>
        <w:numPr>
          <w:ilvl w:val="0"/>
          <w:numId w:val="13"/>
        </w:numPr>
        <w:overflowPunct/>
        <w:autoSpaceDE/>
        <w:autoSpaceDN/>
        <w:adjustRightInd/>
        <w:spacing w:after="60" w:line="257" w:lineRule="auto"/>
        <w:contextualSpacing w:val="0"/>
        <w:jc w:val="both"/>
        <w:rPr>
          <w:iCs/>
        </w:rPr>
      </w:pPr>
      <w:r>
        <w:rPr>
          <w:iCs/>
          <w:color w:val="0000CC"/>
        </w:rPr>
        <w:t>UE AS Context is released from anchor gNB after doing the Path Switch during the ongoing SDT session. T</w:t>
      </w:r>
      <w:r>
        <w:rPr>
          <w:iCs/>
        </w:rPr>
        <w:t xml:space="preserve">he drawback </w:t>
      </w:r>
      <w:r>
        <w:rPr>
          <w:iCs/>
          <w:color w:val="0000CC"/>
        </w:rPr>
        <w:t>is</w:t>
      </w:r>
      <w:r>
        <w:rPr>
          <w:iCs/>
        </w:rPr>
        <w:t xml:space="preserve"> that the I-RNTI stored in the UE during an SDT session points to the UE context in the anchor gNB when this has already been deleted.</w:t>
      </w:r>
    </w:p>
    <w:p w14:paraId="15B4B584" w14:textId="77777777" w:rsidR="00EA567C" w:rsidRDefault="00786B2D">
      <w:pPr>
        <w:pStyle w:val="a9"/>
        <w:numPr>
          <w:ilvl w:val="0"/>
          <w:numId w:val="13"/>
        </w:numPr>
        <w:overflowPunct/>
        <w:autoSpaceDE/>
        <w:autoSpaceDN/>
        <w:adjustRightInd/>
        <w:spacing w:after="60" w:line="257" w:lineRule="auto"/>
        <w:contextualSpacing w:val="0"/>
        <w:jc w:val="both"/>
        <w:rPr>
          <w:iCs/>
        </w:rPr>
      </w:pPr>
      <w:r>
        <w:rPr>
          <w:iCs/>
        </w:rPr>
        <w:t>UE AS Context is released from anchor gNB after serving gNB provides a new NCC and I-RNTI to the UE (i.e. at the end of the SDT session). The drawback is that serving gNB needs to inform anchor gNB when SDT session successfully ends in order to delete the corresponding UE AS Context.</w:t>
      </w:r>
    </w:p>
    <w:p w14:paraId="15B4B585" w14:textId="77777777" w:rsidR="00EA567C" w:rsidRDefault="00786B2D">
      <w:pPr>
        <w:pStyle w:val="af9"/>
        <w:keepNext/>
        <w:spacing w:before="75" w:after="0" w:afterAutospacing="0" w:line="315" w:lineRule="atLeast"/>
        <w:jc w:val="center"/>
      </w:pPr>
      <w:r>
        <w:rPr>
          <w:rFonts w:cs="Arial" w:hint="eastAsia"/>
          <w:noProof/>
          <w:color w:val="000000"/>
          <w:sz w:val="21"/>
          <w:lang w:eastAsia="zh-CN"/>
        </w:rPr>
        <w:object w:dxaOrig="7849" w:dyaOrig="8377" w14:anchorId="15B4B831">
          <v:shape id="_x0000_i1030" type="#_x0000_t75" alt="" style="width:349.5pt;height:388.8pt;mso-width-percent:0;mso-height-percent:0;mso-width-percent:0;mso-height-percent:0" o:ole="">
            <v:imagedata r:id="rId24" o:title=""/>
            <o:lock v:ext="edit" aspectratio="f"/>
          </v:shape>
          <o:OLEObject Type="Embed" ProgID="Visio.Drawing.15" ShapeID="_x0000_i1030" DrawAspect="Content" ObjectID="_1688365988" r:id="rId25"/>
        </w:object>
      </w:r>
    </w:p>
    <w:p w14:paraId="15B4B586" w14:textId="77777777" w:rsidR="00EA567C" w:rsidRDefault="00786B2D">
      <w:pPr>
        <w:ind w:firstLine="420"/>
        <w:jc w:val="center"/>
        <w:rPr>
          <w:rFonts w:cs="Times New Roman"/>
          <w:sz w:val="20"/>
          <w:szCs w:val="20"/>
        </w:rPr>
      </w:pPr>
      <w:bookmarkStart w:id="105" w:name="_Ref74171790"/>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noProof/>
          <w:sz w:val="20"/>
          <w:szCs w:val="20"/>
        </w:rPr>
        <w:t>2</w:t>
      </w:r>
      <w:r>
        <w:rPr>
          <w:rFonts w:ascii="Times New Roman" w:hAnsi="Times New Roman" w:cs="Times New Roman"/>
          <w:sz w:val="20"/>
          <w:szCs w:val="20"/>
        </w:rPr>
        <w:fldChar w:fldCharType="end"/>
      </w:r>
      <w:bookmarkEnd w:id="105"/>
      <w:r>
        <w:rPr>
          <w:rFonts w:ascii="Times New Roman" w:hAnsi="Times New Roman" w:cs="Times New Roman"/>
          <w:sz w:val="20"/>
          <w:szCs w:val="20"/>
        </w:rPr>
        <w:t xml:space="preserve">. SDT with anchor relocation from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xml:space="preserve"> but updated to include both options as explained in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p>
    <w:p w14:paraId="15B4B587"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Upon initiation of the corresponding SDT session, the I-RNTI stored in the UE points to the UE context in the anchor/old gNB while the UE AS Context may be released from the anchor gNB </w:t>
      </w:r>
      <w:r>
        <w:rPr>
          <w:rFonts w:ascii="Times New Roman" w:hAnsi="Times New Roman" w:cs="Times New Roman"/>
          <w:iCs/>
          <w:sz w:val="20"/>
          <w:szCs w:val="20"/>
        </w:rPr>
        <w:t>after serving gNB completes the path switch with the AMF at the beginning of the SDT session</w:t>
      </w:r>
      <w:r>
        <w:rPr>
          <w:rFonts w:ascii="Times New Roman" w:hAnsi="Times New Roman" w:cs="Times New Roman"/>
          <w:sz w:val="20"/>
          <w:szCs w:val="20"/>
        </w:rPr>
        <w:t>.</w:t>
      </w:r>
    </w:p>
    <w:p w14:paraId="15B4B588" w14:textId="77777777" w:rsidR="00EA567C" w:rsidRDefault="00786B2D">
      <w:pPr>
        <w:jc w:val="both"/>
        <w:rPr>
          <w:rFonts w:ascii="Times New Roman" w:hAnsi="Times New Roman" w:cs="Times New Roman"/>
          <w:sz w:val="20"/>
          <w:szCs w:val="20"/>
          <w:lang w:eastAsia="x-none"/>
        </w:rPr>
      </w:pPr>
      <w:r>
        <w:rPr>
          <w:rFonts w:ascii="Times New Roman" w:hAnsi="Times New Roman" w:cs="Times New Roman"/>
          <w:sz w:val="20"/>
          <w:szCs w:val="20"/>
        </w:rPr>
        <w:t>On summary</w:t>
      </w:r>
      <w:r>
        <w:rPr>
          <w:rFonts w:ascii="Times New Roman" w:hAnsi="Times New Roman" w:cs="Times New Roman"/>
          <w:sz w:val="20"/>
          <w:szCs w:val="20"/>
          <w:lang w:eastAsia="x-none"/>
        </w:rPr>
        <w:t>, during an ongoing SDT session, UE only has an stored/available I-RNTI that points to the anchor gNB. Therefore, if UE had an ongoing SDT session in a serving gNB that is different than the anchor gNB,  the identifier to be included in this 2</w:t>
      </w:r>
      <w:r>
        <w:rPr>
          <w:rFonts w:ascii="Times New Roman" w:hAnsi="Times New Roman" w:cs="Times New Roman"/>
          <w:sz w:val="20"/>
          <w:szCs w:val="20"/>
          <w:vertAlign w:val="superscript"/>
          <w:lang w:eastAsia="x-none"/>
        </w:rPr>
        <w:t>nd</w:t>
      </w:r>
      <w:r>
        <w:rPr>
          <w:rFonts w:ascii="Times New Roman" w:hAnsi="Times New Roman" w:cs="Times New Roman"/>
          <w:sz w:val="20"/>
          <w:szCs w:val="20"/>
          <w:lang w:eastAsia="x-none"/>
        </w:rPr>
        <w:t xml:space="preserve"> </w:t>
      </w:r>
      <w:r>
        <w:rPr>
          <w:rFonts w:ascii="Times New Roman" w:hAnsi="Times New Roman" w:cs="Times New Roman"/>
          <w:i/>
          <w:sz w:val="20"/>
          <w:szCs w:val="20"/>
          <w:lang w:eastAsia="x-none"/>
        </w:rPr>
        <w:t>RRCResumeRequest</w:t>
      </w:r>
      <w:r>
        <w:rPr>
          <w:rFonts w:ascii="Times New Roman" w:hAnsi="Times New Roman" w:cs="Times New Roman"/>
          <w:sz w:val="20"/>
          <w:szCs w:val="20"/>
          <w:lang w:eastAsia="x-none"/>
        </w:rPr>
        <w:t xml:space="preserve"> message and how it can identify the UE context should be discussed.  Some possible options also discussed in the contributions were:</w:t>
      </w:r>
    </w:p>
    <w:p w14:paraId="15B4B589" w14:textId="77777777" w:rsidR="00EA567C" w:rsidRDefault="00786B2D">
      <w:pPr>
        <w:pStyle w:val="a9"/>
        <w:numPr>
          <w:ilvl w:val="0"/>
          <w:numId w:val="16"/>
        </w:numPr>
        <w:spacing w:after="60"/>
        <w:contextualSpacing w:val="0"/>
        <w:jc w:val="both"/>
      </w:pPr>
      <w:r>
        <w:t xml:space="preserve">I-RNTI i.e. same as for legacy </w:t>
      </w:r>
      <w:r>
        <w:rPr>
          <w:i/>
          <w:iCs/>
        </w:rPr>
        <w:t>RRCResumeRequest</w:t>
      </w:r>
      <w:r>
        <w:t xml:space="preserve"> message which was also used when the SDT session was started (before initiating ongoing switch to non-SDT). This option would route the 2</w:t>
      </w:r>
      <w:r>
        <w:rPr>
          <w:vertAlign w:val="superscript"/>
        </w:rPr>
        <w:t>nd</w:t>
      </w:r>
      <w:r>
        <w:t xml:space="preserve"> </w:t>
      </w:r>
      <w:r>
        <w:rPr>
          <w:i/>
          <w:iCs/>
        </w:rPr>
        <w:t>RRCResumeRequest</w:t>
      </w:r>
      <w:r>
        <w:t xml:space="preserve"> message to the anchor/old gNB.</w:t>
      </w:r>
    </w:p>
    <w:p w14:paraId="15B4B58A" w14:textId="77777777" w:rsidR="00EA567C" w:rsidRDefault="00786B2D">
      <w:pPr>
        <w:pStyle w:val="a9"/>
        <w:numPr>
          <w:ilvl w:val="0"/>
          <w:numId w:val="16"/>
        </w:numPr>
        <w:contextualSpacing w:val="0"/>
        <w:jc w:val="both"/>
      </w:pPr>
      <w:r>
        <w:t xml:space="preserve">New I-RNTI that is provided by the serving gNB in the 1st DL message after UE sends the 1st UL SDT msg (i.e. upon initiating the SDT session) </w:t>
      </w:r>
      <w:r>
        <w:fldChar w:fldCharType="begin"/>
      </w:r>
      <w:r>
        <w:instrText xml:space="preserve"> REF _Ref74088521 \r \h </w:instrText>
      </w:r>
      <w:r>
        <w:fldChar w:fldCharType="separate"/>
      </w:r>
      <w:r>
        <w:t>[6]</w:t>
      </w:r>
      <w:r>
        <w:fldChar w:fldCharType="end"/>
      </w:r>
      <w:r>
        <w:fldChar w:fldCharType="begin"/>
      </w:r>
      <w:r>
        <w:instrText xml:space="preserve"> REF _Ref74088974 \r \h </w:instrText>
      </w:r>
      <w:r>
        <w:fldChar w:fldCharType="separate"/>
      </w:r>
      <w:r>
        <w:t>[14]</w:t>
      </w:r>
      <w:r>
        <w:fldChar w:fldCharType="end"/>
      </w:r>
      <w:r>
        <w:t>. This option would route the 2</w:t>
      </w:r>
      <w:r>
        <w:rPr>
          <w:vertAlign w:val="superscript"/>
        </w:rPr>
        <w:t>nd</w:t>
      </w:r>
      <w:r>
        <w:t xml:space="preserve"> </w:t>
      </w:r>
      <w:r>
        <w:rPr>
          <w:i/>
          <w:iCs/>
        </w:rPr>
        <w:t>RRCResumeRequest</w:t>
      </w:r>
      <w:r>
        <w:t xml:space="preserve"> message to the serving gNB where the SDT session was ongoing.</w:t>
      </w:r>
    </w:p>
    <w:p w14:paraId="15B4B58B" w14:textId="77777777" w:rsidR="00EA567C" w:rsidRDefault="00786B2D">
      <w:pPr>
        <w:pStyle w:val="a9"/>
        <w:numPr>
          <w:ilvl w:val="0"/>
          <w:numId w:val="6"/>
        </w:numPr>
        <w:ind w:left="360"/>
        <w:contextualSpacing w:val="0"/>
        <w:jc w:val="both"/>
        <w:rPr>
          <w:color w:val="A6A6A6" w:themeColor="background1" w:themeShade="A6"/>
        </w:rPr>
      </w:pPr>
      <w:bookmarkStart w:id="106" w:name="_Ref74170625"/>
      <w:r>
        <w:rPr>
          <w:color w:val="A6A6A6" w:themeColor="background1" w:themeShade="A6"/>
        </w:rPr>
        <w:t>When switching from SDT to non-SDT via CCCH-based approach and for the scenario where the ongoing SDT session is with UE AS context relocation, how serving gNB can locate the UE AS Context in the network for the 2</w:t>
      </w:r>
      <w:r>
        <w:rPr>
          <w:color w:val="A6A6A6" w:themeColor="background1" w:themeShade="A6"/>
          <w:vertAlign w:val="superscript"/>
        </w:rPr>
        <w:t>nd</w:t>
      </w:r>
      <w:r>
        <w:rPr>
          <w:color w:val="A6A6A6" w:themeColor="background1" w:themeShade="A6"/>
        </w:rPr>
        <w:t xml:space="preserve"> </w:t>
      </w:r>
      <w:r>
        <w:rPr>
          <w:i/>
          <w:iCs/>
          <w:color w:val="A6A6A6" w:themeColor="background1" w:themeShade="A6"/>
        </w:rPr>
        <w:t>RRCResumeRequest</w:t>
      </w:r>
      <w:r>
        <w:rPr>
          <w:color w:val="A6A6A6" w:themeColor="background1" w:themeShade="A6"/>
        </w:rPr>
        <w:t xml:space="preserve"> msg based on the I-RNTI available in the UE that may point to a released UE context in the anchor gNB.  </w:t>
      </w:r>
      <w:bookmarkEnd w:id="106"/>
    </w:p>
    <w:p w14:paraId="15B4B58C" w14:textId="77777777" w:rsidR="00EA567C" w:rsidRDefault="00786B2D">
      <w:pPr>
        <w:pStyle w:val="4"/>
        <w:rPr>
          <w:color w:val="0000CC"/>
        </w:rPr>
      </w:pPr>
      <w:r>
        <w:rPr>
          <w:color w:val="0000CC"/>
          <w:lang w:val="en-US"/>
        </w:rPr>
        <w:lastRenderedPageBreak/>
        <w:fldChar w:fldCharType="begin"/>
      </w:r>
      <w:r>
        <w:rPr>
          <w:color w:val="0000CC"/>
          <w:lang w:val="en-US"/>
        </w:rPr>
        <w:instrText xml:space="preserve"> REF _Ref75007376 \r \h </w:instrText>
      </w:r>
      <w:r>
        <w:rPr>
          <w:color w:val="0000CC"/>
          <w:lang w:val="en-US"/>
        </w:rPr>
      </w:r>
      <w:r>
        <w:rPr>
          <w:color w:val="0000CC"/>
          <w:lang w:val="en-US"/>
        </w:rPr>
        <w:fldChar w:fldCharType="separate"/>
      </w:r>
      <w:r>
        <w:rPr>
          <w:color w:val="0000CC"/>
          <w:lang w:val="en-US"/>
        </w:rPr>
        <w:t>Q.15)</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58D"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_Ref75007376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Q.15)</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58E" w14:textId="77777777" w:rsidR="00EA567C" w:rsidRDefault="00786B2D">
      <w:pPr>
        <w:pStyle w:val="a9"/>
        <w:numPr>
          <w:ilvl w:val="0"/>
          <w:numId w:val="30"/>
        </w:numPr>
        <w:overflowPunct/>
        <w:autoSpaceDE/>
        <w:autoSpaceDN/>
        <w:adjustRightInd/>
        <w:spacing w:after="120" w:line="259" w:lineRule="auto"/>
        <w:contextualSpacing w:val="0"/>
        <w:jc w:val="both"/>
        <w:rPr>
          <w:color w:val="0000CC"/>
        </w:rPr>
      </w:pPr>
      <w:bookmarkStart w:id="107" w:name="_Ref75007376"/>
      <w:r>
        <w:rPr>
          <w:color w:val="0000CC"/>
        </w:rPr>
        <w:t>When switching from SDT to non-SDT via CCCH-based approach and for the scenario where the ongoing SDT session is with UE AS context relocation, which previous option 7.x or new option is preferable for the serving gNB to locate/identify the UE AS Context in the network for the 2</w:t>
      </w:r>
      <w:r>
        <w:rPr>
          <w:color w:val="0000CC"/>
          <w:vertAlign w:val="superscript"/>
        </w:rPr>
        <w:t>nd</w:t>
      </w:r>
      <w:r>
        <w:rPr>
          <w:color w:val="0000CC"/>
        </w:rPr>
        <w:t xml:space="preserve"> </w:t>
      </w:r>
      <w:r>
        <w:rPr>
          <w:i/>
          <w:iCs/>
          <w:color w:val="0000CC"/>
        </w:rPr>
        <w:t>RRCResumeRequest</w:t>
      </w:r>
      <w:r>
        <w:rPr>
          <w:color w:val="0000CC"/>
        </w:rPr>
        <w:t xml:space="preserve"> msg.?</w:t>
      </w:r>
      <w:bookmarkEnd w:id="107"/>
    </w:p>
    <w:tbl>
      <w:tblPr>
        <w:tblStyle w:val="ab"/>
        <w:tblW w:w="0" w:type="auto"/>
        <w:tblLook w:val="04A0" w:firstRow="1" w:lastRow="0" w:firstColumn="1" w:lastColumn="0" w:noHBand="0" w:noVBand="1"/>
      </w:tblPr>
      <w:tblGrid>
        <w:gridCol w:w="1975"/>
        <w:gridCol w:w="1170"/>
        <w:gridCol w:w="6205"/>
      </w:tblGrid>
      <w:tr w:rsidR="00EA567C" w14:paraId="15B4B592" w14:textId="77777777">
        <w:tc>
          <w:tcPr>
            <w:tcW w:w="1975" w:type="dxa"/>
            <w:shd w:val="clear" w:color="auto" w:fill="BFBFBF" w:themeFill="background1" w:themeFillShade="BF"/>
          </w:tcPr>
          <w:p w14:paraId="15B4B58F"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590" w14:textId="77777777" w:rsidR="00EA567C" w:rsidRDefault="00786B2D">
            <w:pPr>
              <w:spacing w:after="0"/>
              <w:jc w:val="center"/>
              <w:rPr>
                <w:b/>
                <w:bCs/>
              </w:rPr>
            </w:pPr>
            <w:r>
              <w:rPr>
                <w:b/>
                <w:bCs/>
              </w:rPr>
              <w:t>Option</w:t>
            </w:r>
          </w:p>
        </w:tc>
        <w:tc>
          <w:tcPr>
            <w:tcW w:w="6205" w:type="dxa"/>
            <w:shd w:val="clear" w:color="auto" w:fill="BFBFBF" w:themeFill="background1" w:themeFillShade="BF"/>
          </w:tcPr>
          <w:p w14:paraId="15B4B591" w14:textId="77777777" w:rsidR="00EA567C" w:rsidRDefault="00786B2D">
            <w:pPr>
              <w:spacing w:after="0"/>
              <w:jc w:val="center"/>
              <w:rPr>
                <w:b/>
                <w:bCs/>
              </w:rPr>
            </w:pPr>
            <w:r>
              <w:rPr>
                <w:b/>
                <w:bCs/>
              </w:rPr>
              <w:t>Justification</w:t>
            </w:r>
          </w:p>
        </w:tc>
      </w:tr>
      <w:tr w:rsidR="00EA567C" w14:paraId="15B4B596" w14:textId="77777777">
        <w:tc>
          <w:tcPr>
            <w:tcW w:w="1975" w:type="dxa"/>
          </w:tcPr>
          <w:p w14:paraId="15B4B593" w14:textId="77777777" w:rsidR="00EA567C" w:rsidRDefault="00786B2D">
            <w:pPr>
              <w:spacing w:after="0"/>
            </w:pPr>
            <w:r>
              <w:t>Huawei, HiSilicon</w:t>
            </w:r>
          </w:p>
        </w:tc>
        <w:tc>
          <w:tcPr>
            <w:tcW w:w="1170" w:type="dxa"/>
          </w:tcPr>
          <w:p w14:paraId="15B4B594" w14:textId="77777777" w:rsidR="00EA567C" w:rsidRDefault="00786B2D">
            <w:pPr>
              <w:spacing w:after="0"/>
            </w:pPr>
            <w:r>
              <w:t>Both option 7a) and option 7b) work</w:t>
            </w:r>
          </w:p>
        </w:tc>
        <w:tc>
          <w:tcPr>
            <w:tcW w:w="6205" w:type="dxa"/>
          </w:tcPr>
          <w:p w14:paraId="15B4B595" w14:textId="77777777" w:rsidR="00EA567C" w:rsidRDefault="00786B2D">
            <w:pPr>
              <w:spacing w:after="0"/>
            </w:pPr>
            <w:r>
              <w:t>We think both options work. Option 7a) should be the baseline and option 7b) can be used on top of this if it is agreed to support a new DL RRC message, e.g. to handle potential security issues for other cases.</w:t>
            </w:r>
          </w:p>
        </w:tc>
      </w:tr>
      <w:tr w:rsidR="00EA567C" w14:paraId="15B4B59A" w14:textId="77777777">
        <w:trPr>
          <w:trHeight w:val="43"/>
        </w:trPr>
        <w:tc>
          <w:tcPr>
            <w:tcW w:w="1975" w:type="dxa"/>
          </w:tcPr>
          <w:p w14:paraId="15B4B597" w14:textId="77777777" w:rsidR="00EA567C" w:rsidRDefault="00786B2D">
            <w:pPr>
              <w:spacing w:after="0"/>
            </w:pPr>
            <w:r>
              <w:t>ZTE</w:t>
            </w:r>
          </w:p>
        </w:tc>
        <w:tc>
          <w:tcPr>
            <w:tcW w:w="1170" w:type="dxa"/>
          </w:tcPr>
          <w:p w14:paraId="15B4B598" w14:textId="77777777" w:rsidR="00EA567C" w:rsidRDefault="00786B2D">
            <w:pPr>
              <w:spacing w:after="0"/>
            </w:pPr>
            <w:r>
              <w:t>Option 7a</w:t>
            </w:r>
          </w:p>
        </w:tc>
        <w:tc>
          <w:tcPr>
            <w:tcW w:w="6205" w:type="dxa"/>
          </w:tcPr>
          <w:p w14:paraId="15B4B599" w14:textId="77777777" w:rsidR="00EA567C" w:rsidRDefault="00786B2D">
            <w:pPr>
              <w:spacing w:after="0"/>
            </w:pPr>
            <w:r>
              <w:t xml:space="preserve">We think we should not further discuss new solutions if there are security issues we should simply go with DCCH solution. </w:t>
            </w:r>
          </w:p>
        </w:tc>
      </w:tr>
      <w:tr w:rsidR="00EA567C" w14:paraId="15B4B59F" w14:textId="77777777">
        <w:trPr>
          <w:trHeight w:val="43"/>
        </w:trPr>
        <w:tc>
          <w:tcPr>
            <w:tcW w:w="1975" w:type="dxa"/>
          </w:tcPr>
          <w:p w14:paraId="15B4B59B" w14:textId="77777777" w:rsidR="00EA567C" w:rsidRDefault="00786B2D">
            <w:pPr>
              <w:spacing w:after="0"/>
            </w:pPr>
            <w:r>
              <w:t>InterDigital</w:t>
            </w:r>
          </w:p>
        </w:tc>
        <w:tc>
          <w:tcPr>
            <w:tcW w:w="1170" w:type="dxa"/>
          </w:tcPr>
          <w:p w14:paraId="15B4B59C" w14:textId="77777777" w:rsidR="00EA567C" w:rsidRDefault="00786B2D">
            <w:pPr>
              <w:spacing w:after="0"/>
            </w:pPr>
            <w:r>
              <w:t>7.a)</w:t>
            </w:r>
          </w:p>
        </w:tc>
        <w:tc>
          <w:tcPr>
            <w:tcW w:w="6205" w:type="dxa"/>
          </w:tcPr>
          <w:p w14:paraId="15B4B59D" w14:textId="77777777" w:rsidR="00EA567C" w:rsidRDefault="00786B2D">
            <w:pPr>
              <w:spacing w:after="0"/>
            </w:pPr>
            <w:r>
              <w:t>The 2</w:t>
            </w:r>
            <w:r>
              <w:rPr>
                <w:vertAlign w:val="superscript"/>
              </w:rPr>
              <w:t>nd</w:t>
            </w:r>
            <w:r>
              <w:t xml:space="preserve"> RRCResumeRequest message would be processed by the anchor gNB and so it makes more sense to use the I-RNTI used for the ongoing SDT session. New I-RNTI makes sense only after the context relocation and so 7.b) can’t be the option here.</w:t>
            </w:r>
          </w:p>
          <w:p w14:paraId="15B4B59E" w14:textId="77777777" w:rsidR="00EA567C" w:rsidRDefault="00786B2D">
            <w:pPr>
              <w:spacing w:after="0"/>
            </w:pPr>
            <w:r>
              <w:t>This applies for the DCCH solution as well.</w:t>
            </w:r>
          </w:p>
        </w:tc>
      </w:tr>
      <w:tr w:rsidR="00EA567C" w14:paraId="15B4B5A3" w14:textId="77777777">
        <w:tc>
          <w:tcPr>
            <w:tcW w:w="1975" w:type="dxa"/>
          </w:tcPr>
          <w:p w14:paraId="15B4B5A0" w14:textId="77777777" w:rsidR="00EA567C" w:rsidRDefault="00786B2D">
            <w:pPr>
              <w:spacing w:after="0"/>
              <w:ind w:firstLine="90"/>
            </w:pPr>
            <w:r>
              <w:t>CATT</w:t>
            </w:r>
          </w:p>
        </w:tc>
        <w:tc>
          <w:tcPr>
            <w:tcW w:w="1170" w:type="dxa"/>
          </w:tcPr>
          <w:p w14:paraId="15B4B5A1" w14:textId="77777777" w:rsidR="00EA567C" w:rsidRDefault="00786B2D">
            <w:pPr>
              <w:spacing w:after="0"/>
            </w:pPr>
            <w:r>
              <w:t>Option 7.a)</w:t>
            </w:r>
          </w:p>
        </w:tc>
        <w:tc>
          <w:tcPr>
            <w:tcW w:w="6205" w:type="dxa"/>
          </w:tcPr>
          <w:p w14:paraId="15B4B5A2" w14:textId="77777777" w:rsidR="00EA567C" w:rsidRDefault="00786B2D">
            <w:pPr>
              <w:spacing w:after="0"/>
            </w:pPr>
            <w:r>
              <w:t>With option 7.b), does it mean that the serving gNB provides new I-RNTI to the anchor gNB and the anchor gNB sends the new I-RNTI via RRC message to the UE? And what’s the UE behaviour if the UE doesn’t receive the New I-RNTI while non-SDT data is available? We cannot ensure the UE always has the new I-RNTI with scenarios in Q.8)-Q.9).</w:t>
            </w:r>
          </w:p>
        </w:tc>
      </w:tr>
      <w:tr w:rsidR="00EA567C" w14:paraId="15B4B5A7" w14:textId="77777777">
        <w:tc>
          <w:tcPr>
            <w:tcW w:w="1975" w:type="dxa"/>
          </w:tcPr>
          <w:p w14:paraId="15B4B5A4" w14:textId="77777777" w:rsidR="00EA567C" w:rsidRDefault="00786B2D">
            <w:pPr>
              <w:spacing w:after="0"/>
              <w:ind w:firstLine="90"/>
            </w:pPr>
            <w:r>
              <w:rPr>
                <w:rFonts w:eastAsiaTheme="minorEastAsia" w:hint="eastAsia"/>
              </w:rPr>
              <w:t>Samsung</w:t>
            </w:r>
          </w:p>
        </w:tc>
        <w:tc>
          <w:tcPr>
            <w:tcW w:w="1170" w:type="dxa"/>
          </w:tcPr>
          <w:p w14:paraId="15B4B5A5" w14:textId="77777777" w:rsidR="00EA567C" w:rsidRDefault="00786B2D">
            <w:pPr>
              <w:spacing w:after="0"/>
            </w:pPr>
            <w:r>
              <w:rPr>
                <w:rFonts w:eastAsiaTheme="minorEastAsia" w:hint="eastAsia"/>
              </w:rPr>
              <w:t>Option 7a</w:t>
            </w:r>
          </w:p>
        </w:tc>
        <w:tc>
          <w:tcPr>
            <w:tcW w:w="6205" w:type="dxa"/>
          </w:tcPr>
          <w:p w14:paraId="15B4B5A6" w14:textId="77777777" w:rsidR="00EA567C" w:rsidRDefault="00786B2D">
            <w:pPr>
              <w:spacing w:after="0"/>
            </w:pPr>
            <w:r>
              <w:rPr>
                <w:rFonts w:eastAsiaTheme="minorEastAsia" w:hint="eastAsia"/>
              </w:rPr>
              <w:t>Agree with ZTE</w:t>
            </w:r>
          </w:p>
        </w:tc>
      </w:tr>
      <w:tr w:rsidR="00EA567C" w14:paraId="15B4B5AB" w14:textId="77777777">
        <w:tc>
          <w:tcPr>
            <w:tcW w:w="1975" w:type="dxa"/>
          </w:tcPr>
          <w:p w14:paraId="15B4B5A8" w14:textId="77777777" w:rsidR="00EA567C" w:rsidRDefault="00786B2D">
            <w:pPr>
              <w:spacing w:after="0"/>
              <w:ind w:firstLine="90"/>
              <w:rPr>
                <w:rFonts w:eastAsiaTheme="minorEastAsia"/>
              </w:rPr>
            </w:pPr>
            <w:r>
              <w:rPr>
                <w:rFonts w:eastAsiaTheme="minorEastAsia" w:hint="eastAsia"/>
              </w:rPr>
              <w:t>Fujitsu</w:t>
            </w:r>
          </w:p>
        </w:tc>
        <w:tc>
          <w:tcPr>
            <w:tcW w:w="1170" w:type="dxa"/>
          </w:tcPr>
          <w:p w14:paraId="15B4B5A9" w14:textId="77777777" w:rsidR="00EA567C" w:rsidRDefault="00786B2D">
            <w:pPr>
              <w:spacing w:after="0"/>
              <w:rPr>
                <w:rFonts w:eastAsiaTheme="minorEastAsia"/>
              </w:rPr>
            </w:pPr>
            <w:r>
              <w:rPr>
                <w:rFonts w:eastAsiaTheme="minorEastAsia" w:hint="eastAsia"/>
              </w:rPr>
              <w:t>Option 7a</w:t>
            </w:r>
          </w:p>
        </w:tc>
        <w:tc>
          <w:tcPr>
            <w:tcW w:w="6205" w:type="dxa"/>
          </w:tcPr>
          <w:p w14:paraId="15B4B5AA" w14:textId="77777777" w:rsidR="00EA567C" w:rsidRDefault="00786B2D">
            <w:pPr>
              <w:spacing w:after="0"/>
              <w:rPr>
                <w:rFonts w:eastAsiaTheme="minorEastAsia"/>
              </w:rPr>
            </w:pPr>
            <w:r>
              <w:rPr>
                <w:rFonts w:eastAsiaTheme="minorEastAsia" w:hint="eastAsia"/>
              </w:rPr>
              <w:t>We think that the starting point is the legacy behaviour.</w:t>
            </w:r>
          </w:p>
        </w:tc>
      </w:tr>
      <w:tr w:rsidR="00EA567C" w14:paraId="15B4B5AF" w14:textId="77777777">
        <w:tc>
          <w:tcPr>
            <w:tcW w:w="1975" w:type="dxa"/>
          </w:tcPr>
          <w:p w14:paraId="15B4B5AC"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5AD" w14:textId="77777777" w:rsidR="00EA567C" w:rsidRDefault="00786B2D">
            <w:pPr>
              <w:spacing w:after="0"/>
              <w:rPr>
                <w:rFonts w:eastAsia="Malgun Gothic"/>
                <w:lang w:eastAsia="ko-KR"/>
              </w:rPr>
            </w:pPr>
            <w:r>
              <w:rPr>
                <w:rFonts w:eastAsia="Malgun Gothic" w:hint="eastAsia"/>
                <w:lang w:eastAsia="ko-KR"/>
              </w:rPr>
              <w:t>Both</w:t>
            </w:r>
          </w:p>
        </w:tc>
        <w:tc>
          <w:tcPr>
            <w:tcW w:w="6205" w:type="dxa"/>
          </w:tcPr>
          <w:p w14:paraId="15B4B5AE" w14:textId="77777777" w:rsidR="00EA567C" w:rsidRDefault="00786B2D">
            <w:pPr>
              <w:spacing w:after="0"/>
              <w:rPr>
                <w:rFonts w:eastAsia="Malgun Gothic"/>
                <w:lang w:eastAsia="ko-KR"/>
              </w:rPr>
            </w:pPr>
            <w:r>
              <w:rPr>
                <w:rFonts w:eastAsia="Malgun Gothic" w:hint="eastAsia"/>
                <w:lang w:eastAsia="ko-KR"/>
              </w:rPr>
              <w:t xml:space="preserve">7.a </w:t>
            </w:r>
            <w:r>
              <w:rPr>
                <w:rFonts w:eastAsia="Malgun Gothic"/>
                <w:lang w:eastAsia="ko-KR"/>
              </w:rPr>
              <w:t>is the baseline, but 7.b can also be considered.</w:t>
            </w:r>
          </w:p>
        </w:tc>
      </w:tr>
      <w:tr w:rsidR="003A606C" w14:paraId="703E2D0D" w14:textId="77777777">
        <w:tc>
          <w:tcPr>
            <w:tcW w:w="1975" w:type="dxa"/>
          </w:tcPr>
          <w:p w14:paraId="4119AF20" w14:textId="63B8FC9E" w:rsidR="003A606C" w:rsidRDefault="003A606C" w:rsidP="003A606C">
            <w:pPr>
              <w:spacing w:after="0"/>
              <w:rPr>
                <w:rFonts w:eastAsia="Malgun Gothic"/>
                <w:lang w:eastAsia="ko-KR"/>
              </w:rPr>
            </w:pPr>
            <w:r>
              <w:t>Intel</w:t>
            </w:r>
          </w:p>
        </w:tc>
        <w:tc>
          <w:tcPr>
            <w:tcW w:w="1170" w:type="dxa"/>
          </w:tcPr>
          <w:p w14:paraId="11602DAD" w14:textId="4AC02F8F" w:rsidR="003A606C" w:rsidRDefault="003A606C" w:rsidP="003A606C">
            <w:pPr>
              <w:spacing w:after="0"/>
              <w:rPr>
                <w:rFonts w:eastAsia="Malgun Gothic"/>
                <w:lang w:eastAsia="ko-KR"/>
              </w:rPr>
            </w:pPr>
            <w:r>
              <w:t xml:space="preserve">7.a) </w:t>
            </w:r>
          </w:p>
        </w:tc>
        <w:tc>
          <w:tcPr>
            <w:tcW w:w="6205" w:type="dxa"/>
          </w:tcPr>
          <w:p w14:paraId="31C51187" w14:textId="0FBE9C9B" w:rsidR="003A606C" w:rsidRDefault="003A606C" w:rsidP="003A606C">
            <w:pPr>
              <w:spacing w:after="0"/>
              <w:rPr>
                <w:rFonts w:eastAsia="Malgun Gothic"/>
                <w:lang w:eastAsia="ko-KR"/>
              </w:rPr>
            </w:pPr>
            <w:r>
              <w:t>Both options 7.a) or 7.b) are feasible. However, option 7.b) would make more sense if a 1</w:t>
            </w:r>
            <w:r>
              <w:rPr>
                <w:vertAlign w:val="superscript"/>
              </w:rPr>
              <w:t>st</w:t>
            </w:r>
            <w:r>
              <w:t xml:space="preserve"> DLRRC msg were sent in the SDT session by the network e.g. to provide a new NCC or if RAN1 requires any reconfiguration. Therefore, for CCCH-based approach, option 7.a) could be assumed as baseline. RAN2 should inform about this scenario to RAN3 to enable it and solve potential issues e.g. anchor gNB may need to keep a copy or reference of the UE AS context until SDT session is successfully terminated by the network.</w:t>
            </w:r>
          </w:p>
        </w:tc>
      </w:tr>
      <w:tr w:rsidR="00D56910" w14:paraId="5C37F841" w14:textId="77777777">
        <w:tc>
          <w:tcPr>
            <w:tcW w:w="1975" w:type="dxa"/>
          </w:tcPr>
          <w:p w14:paraId="6C281FAA" w14:textId="2C136681" w:rsidR="00D56910" w:rsidRDefault="00D56910" w:rsidP="00D56910">
            <w:pPr>
              <w:spacing w:after="0"/>
            </w:pPr>
            <w:r>
              <w:rPr>
                <w:rFonts w:hint="eastAsia"/>
                <w:lang w:eastAsia="zh-CN"/>
              </w:rPr>
              <w:t>N</w:t>
            </w:r>
            <w:r>
              <w:rPr>
                <w:lang w:eastAsia="zh-CN"/>
              </w:rPr>
              <w:t>EC</w:t>
            </w:r>
          </w:p>
        </w:tc>
        <w:tc>
          <w:tcPr>
            <w:tcW w:w="1170" w:type="dxa"/>
          </w:tcPr>
          <w:p w14:paraId="5A53A6C8" w14:textId="7F5023E6" w:rsidR="00D56910" w:rsidRDefault="00D56910" w:rsidP="00D56910">
            <w:pPr>
              <w:spacing w:after="0"/>
            </w:pPr>
            <w:r>
              <w:t>Option 7a)</w:t>
            </w:r>
          </w:p>
        </w:tc>
        <w:tc>
          <w:tcPr>
            <w:tcW w:w="6205" w:type="dxa"/>
          </w:tcPr>
          <w:p w14:paraId="56322165" w14:textId="407E21DF" w:rsidR="00D56910" w:rsidRDefault="00D56910" w:rsidP="00D56910">
            <w:pPr>
              <w:spacing w:after="0"/>
            </w:pPr>
            <w:r>
              <w:rPr>
                <w:lang w:eastAsia="zh-CN"/>
              </w:rPr>
              <w:t>As the UE context is still kept at the anchor gNB, we don’t see any issue of using the same I-RNTI.</w:t>
            </w:r>
          </w:p>
        </w:tc>
      </w:tr>
    </w:tbl>
    <w:p w14:paraId="15B4B5B0" w14:textId="77777777" w:rsidR="00EA567C" w:rsidRDefault="00EA567C">
      <w:pPr>
        <w:rPr>
          <w:rFonts w:ascii="Times New Roman" w:hAnsi="Times New Roman" w:cs="Times New Roman"/>
          <w:sz w:val="20"/>
          <w:szCs w:val="20"/>
          <w:lang w:eastAsia="x-none"/>
        </w:rPr>
      </w:pPr>
    </w:p>
    <w:p w14:paraId="15B4B5B1" w14:textId="77777777" w:rsidR="00EA567C" w:rsidRDefault="00786B2D">
      <w:pPr>
        <w:pStyle w:val="3"/>
      </w:pPr>
      <w:r>
        <w:t>[CCCH point(7)] Network handling of the 2</w:t>
      </w:r>
      <w:r>
        <w:rPr>
          <w:vertAlign w:val="superscript"/>
        </w:rPr>
        <w:t>nd</w:t>
      </w:r>
      <w:r>
        <w:t xml:space="preserve"> RRCResumeRequest and the RRCResume messages.</w:t>
      </w:r>
    </w:p>
    <w:p w14:paraId="15B4B5B2" w14:textId="77777777" w:rsidR="00EA567C" w:rsidRDefault="00786B2D">
      <w:pPr>
        <w:rPr>
          <w:rFonts w:ascii="Times New Roman" w:hAnsi="Times New Roman" w:cs="Times New Roman"/>
          <w:sz w:val="20"/>
          <w:szCs w:val="20"/>
          <w:lang w:eastAsia="x-none"/>
        </w:rPr>
      </w:pPr>
      <w:r>
        <w:rPr>
          <w:rFonts w:ascii="Times New Roman" w:hAnsi="Times New Roman" w:cs="Times New Roman"/>
          <w:sz w:val="20"/>
          <w:szCs w:val="20"/>
          <w:lang w:eastAsia="x-none"/>
        </w:rPr>
        <w:t>When the anchor/old gNB has/keeps stored the UE AS Context, after receiving the 2</w:t>
      </w:r>
      <w:r>
        <w:rPr>
          <w:rFonts w:ascii="Times New Roman" w:hAnsi="Times New Roman" w:cs="Times New Roman"/>
          <w:sz w:val="20"/>
          <w:szCs w:val="20"/>
          <w:vertAlign w:val="superscript"/>
          <w:lang w:eastAsia="x-none"/>
        </w:rPr>
        <w:t>nd</w:t>
      </w:r>
      <w:r>
        <w:rPr>
          <w:rFonts w:ascii="Times New Roman" w:hAnsi="Times New Roman" w:cs="Times New Roman"/>
          <w:sz w:val="20"/>
          <w:szCs w:val="20"/>
          <w:lang w:eastAsia="x-none"/>
        </w:rPr>
        <w:t xml:space="preserve"> </w:t>
      </w:r>
      <w:r>
        <w:rPr>
          <w:rFonts w:ascii="Times New Roman" w:hAnsi="Times New Roman" w:cs="Times New Roman"/>
          <w:i/>
          <w:iCs/>
          <w:sz w:val="20"/>
          <w:szCs w:val="20"/>
          <w:lang w:eastAsia="x-none"/>
        </w:rPr>
        <w:t>RRCResumeRequest</w:t>
      </w:r>
      <w:r>
        <w:rPr>
          <w:rFonts w:ascii="Times New Roman" w:hAnsi="Times New Roman" w:cs="Times New Roman"/>
          <w:sz w:val="20"/>
          <w:szCs w:val="20"/>
          <w:lang w:eastAsia="x-none"/>
        </w:rPr>
        <w:t xml:space="preserve"> msg from the same UE, it needs to be discussed whether anchor gNB generates or not another new KgNB associated with the same target gNB, as explained in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_Ref74171670 \h  \* MERGEFORMAT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Figure 3</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t xml:space="preserve"> below from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_Ref74088860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[18]</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t>.</w:t>
      </w:r>
    </w:p>
    <w:p w14:paraId="15B4B5B3" w14:textId="77777777" w:rsidR="00EA567C" w:rsidRDefault="00786B2D">
      <w:pPr>
        <w:keepNext/>
        <w:spacing w:after="0"/>
        <w:jc w:val="center"/>
      </w:pPr>
      <w:r>
        <w:rPr>
          <w:noProof/>
        </w:rPr>
        <w:object w:dxaOrig="9770" w:dyaOrig="5200" w14:anchorId="15B4B832">
          <v:shape id="_x0000_i1031" type="#_x0000_t75" alt="" style="width:403.2pt;height:3in;mso-width-percent:0;mso-height-percent:0;mso-width-percent:0;mso-height-percent:0" o:ole="">
            <v:imagedata r:id="rId26" o:title=""/>
          </v:shape>
          <o:OLEObject Type="Embed" ProgID="Visio.Drawing.11" ShapeID="_x0000_i1031" DrawAspect="Content" ObjectID="_1688365989" r:id="rId27"/>
        </w:object>
      </w:r>
    </w:p>
    <w:p w14:paraId="15B4B5B4" w14:textId="77777777" w:rsidR="00EA567C" w:rsidRDefault="00786B2D">
      <w:pPr>
        <w:pStyle w:val="af6"/>
        <w:jc w:val="center"/>
        <w:rPr>
          <w:i w:val="0"/>
          <w:iCs w:val="0"/>
          <w:color w:val="auto"/>
          <w:sz w:val="20"/>
          <w:szCs w:val="20"/>
        </w:rPr>
      </w:pPr>
      <w:bookmarkStart w:id="108" w:name="_Ref74171670"/>
      <w:r>
        <w:rPr>
          <w:i w:val="0"/>
          <w:iCs w:val="0"/>
          <w:color w:val="auto"/>
          <w:sz w:val="20"/>
          <w:szCs w:val="20"/>
        </w:rPr>
        <w:t xml:space="preserve">Figure </w:t>
      </w:r>
      <w:r>
        <w:rPr>
          <w:i w:val="0"/>
          <w:iCs w:val="0"/>
          <w:color w:val="auto"/>
          <w:sz w:val="20"/>
          <w:szCs w:val="20"/>
        </w:rPr>
        <w:fldChar w:fldCharType="begin"/>
      </w:r>
      <w:r>
        <w:rPr>
          <w:i w:val="0"/>
          <w:iCs w:val="0"/>
          <w:color w:val="auto"/>
          <w:sz w:val="20"/>
          <w:szCs w:val="20"/>
        </w:rPr>
        <w:instrText xml:space="preserve"> SEQ Figure \* ARABIC </w:instrText>
      </w:r>
      <w:r>
        <w:rPr>
          <w:i w:val="0"/>
          <w:iCs w:val="0"/>
          <w:color w:val="auto"/>
          <w:sz w:val="20"/>
          <w:szCs w:val="20"/>
        </w:rPr>
        <w:fldChar w:fldCharType="separate"/>
      </w:r>
      <w:r>
        <w:rPr>
          <w:i w:val="0"/>
          <w:iCs w:val="0"/>
          <w:noProof/>
          <w:color w:val="auto"/>
          <w:sz w:val="20"/>
          <w:szCs w:val="20"/>
        </w:rPr>
        <w:t>3</w:t>
      </w:r>
      <w:r>
        <w:rPr>
          <w:i w:val="0"/>
          <w:iCs w:val="0"/>
          <w:noProof/>
          <w:color w:val="auto"/>
          <w:sz w:val="20"/>
          <w:szCs w:val="20"/>
        </w:rPr>
        <w:fldChar w:fldCharType="end"/>
      </w:r>
      <w:bookmarkEnd w:id="108"/>
      <w:r>
        <w:rPr>
          <w:i w:val="0"/>
          <w:iCs w:val="0"/>
          <w:color w:val="auto"/>
          <w:sz w:val="20"/>
          <w:szCs w:val="20"/>
        </w:rPr>
        <w:t xml:space="preserve">: Key generation after the second CCCH message </w:t>
      </w:r>
      <w:r>
        <w:rPr>
          <w:i w:val="0"/>
          <w:iCs w:val="0"/>
          <w:color w:val="auto"/>
          <w:sz w:val="20"/>
          <w:szCs w:val="20"/>
        </w:rPr>
        <w:fldChar w:fldCharType="begin"/>
      </w:r>
      <w:r>
        <w:rPr>
          <w:i w:val="0"/>
          <w:iCs w:val="0"/>
          <w:color w:val="auto"/>
          <w:sz w:val="20"/>
          <w:szCs w:val="20"/>
        </w:rPr>
        <w:instrText xml:space="preserve"> REF _Ref74088860 \r \h  \* MERGEFORMAT </w:instrText>
      </w:r>
      <w:r>
        <w:rPr>
          <w:i w:val="0"/>
          <w:iCs w:val="0"/>
          <w:color w:val="auto"/>
          <w:sz w:val="20"/>
          <w:szCs w:val="20"/>
        </w:rPr>
      </w:r>
      <w:r>
        <w:rPr>
          <w:i w:val="0"/>
          <w:iCs w:val="0"/>
          <w:color w:val="auto"/>
          <w:sz w:val="20"/>
          <w:szCs w:val="20"/>
        </w:rPr>
        <w:fldChar w:fldCharType="separate"/>
      </w:r>
      <w:r>
        <w:rPr>
          <w:i w:val="0"/>
          <w:iCs w:val="0"/>
          <w:color w:val="auto"/>
          <w:sz w:val="20"/>
          <w:szCs w:val="20"/>
        </w:rPr>
        <w:t>[18]</w:t>
      </w:r>
      <w:r>
        <w:rPr>
          <w:i w:val="0"/>
          <w:iCs w:val="0"/>
          <w:color w:val="auto"/>
          <w:sz w:val="20"/>
          <w:szCs w:val="20"/>
        </w:rPr>
        <w:fldChar w:fldCharType="end"/>
      </w:r>
    </w:p>
    <w:p w14:paraId="15B4B5B5" w14:textId="77777777" w:rsidR="00EA567C" w:rsidRDefault="00786B2D">
      <w:pPr>
        <w:pStyle w:val="a9"/>
        <w:numPr>
          <w:ilvl w:val="0"/>
          <w:numId w:val="6"/>
        </w:numPr>
        <w:spacing w:after="120"/>
        <w:ind w:left="360"/>
        <w:contextualSpacing w:val="0"/>
        <w:jc w:val="both"/>
        <w:rPr>
          <w:color w:val="A6A6A6" w:themeColor="background1" w:themeShade="A6"/>
        </w:rPr>
      </w:pPr>
      <w:bookmarkStart w:id="109" w:name="_Ref74170544"/>
      <w:r>
        <w:rPr>
          <w:color w:val="A6A6A6" w:themeColor="background1" w:themeShade="A6"/>
        </w:rPr>
        <w:t>When switching from SDT to non-SDT via CCCH-based approach with anchor gNB, after network receives the 2</w:t>
      </w:r>
      <w:r>
        <w:rPr>
          <w:color w:val="A6A6A6" w:themeColor="background1" w:themeShade="A6"/>
          <w:vertAlign w:val="superscript"/>
        </w:rPr>
        <w:t>nd</w:t>
      </w:r>
      <w:r>
        <w:rPr>
          <w:color w:val="A6A6A6" w:themeColor="background1" w:themeShade="A6"/>
        </w:rPr>
        <w:t xml:space="preserve"> </w:t>
      </w:r>
      <w:r>
        <w:rPr>
          <w:i/>
          <w:iCs/>
          <w:color w:val="A6A6A6" w:themeColor="background1" w:themeShade="A6"/>
        </w:rPr>
        <w:t>RRCResumeRequest</w:t>
      </w:r>
      <w:r>
        <w:rPr>
          <w:color w:val="A6A6A6" w:themeColor="background1" w:themeShade="A6"/>
        </w:rPr>
        <w:t xml:space="preserve"> msg, whether</w:t>
      </w:r>
      <w:r>
        <w:rPr>
          <w:color w:val="A6A6A6" w:themeColor="background1" w:themeShade="A6"/>
          <w:lang w:eastAsia="x-none"/>
        </w:rPr>
        <w:t xml:space="preserve"> anchor gNB generates (or not) another new KgNB associated with the same target gNB. The following were raised in [18]:</w:t>
      </w:r>
    </w:p>
    <w:p w14:paraId="15B4B5B6" w14:textId="77777777" w:rsidR="00EA567C" w:rsidRDefault="00786B2D">
      <w:pPr>
        <w:pStyle w:val="a9"/>
        <w:numPr>
          <w:ilvl w:val="0"/>
          <w:numId w:val="27"/>
        </w:numPr>
        <w:spacing w:after="120"/>
        <w:jc w:val="both"/>
        <w:rPr>
          <w:color w:val="A6A6A6" w:themeColor="background1" w:themeShade="A6"/>
        </w:rPr>
      </w:pPr>
      <w:r>
        <w:rPr>
          <w:color w:val="A6A6A6" w:themeColor="background1" w:themeShade="A6"/>
        </w:rPr>
        <w:t xml:space="preserve">Will </w:t>
      </w:r>
      <w:bookmarkStart w:id="110" w:name="_Hlk75006728"/>
      <w:r>
        <w:rPr>
          <w:color w:val="A6A6A6" w:themeColor="background1" w:themeShade="A6"/>
        </w:rPr>
        <w:t>the second RRCResumeReq (i.e., in step 7) be routed to the old anchor gNB regardless of anchor relocation or not</w:t>
      </w:r>
      <w:bookmarkEnd w:id="110"/>
      <w:r>
        <w:rPr>
          <w:color w:val="A6A6A6" w:themeColor="background1" w:themeShade="A6"/>
        </w:rPr>
        <w:t>?</w:t>
      </w:r>
    </w:p>
    <w:p w14:paraId="15B4B5B7" w14:textId="77777777" w:rsidR="00EA567C" w:rsidRDefault="00786B2D">
      <w:pPr>
        <w:pStyle w:val="a9"/>
        <w:numPr>
          <w:ilvl w:val="0"/>
          <w:numId w:val="27"/>
        </w:numPr>
        <w:rPr>
          <w:color w:val="A6A6A6" w:themeColor="background1" w:themeShade="A6"/>
        </w:rPr>
      </w:pPr>
      <w:r>
        <w:rPr>
          <w:color w:val="A6A6A6" w:themeColor="background1" w:themeShade="A6"/>
        </w:rPr>
        <w:t xml:space="preserve">After receiving the second </w:t>
      </w:r>
      <w:r>
        <w:rPr>
          <w:i/>
          <w:iCs/>
          <w:color w:val="A6A6A6" w:themeColor="background1" w:themeShade="A6"/>
        </w:rPr>
        <w:t>RRCResumeRequest</w:t>
      </w:r>
      <w:r>
        <w:rPr>
          <w:color w:val="A6A6A6" w:themeColor="background1" w:themeShade="A6"/>
        </w:rPr>
        <w:t xml:space="preserve"> msg from the same UE, will the anchor gNB generate another new KgNB associated with the same target gNB? </w:t>
      </w:r>
    </w:p>
    <w:p w14:paraId="15B4B5B8" w14:textId="77777777" w:rsidR="00EA567C" w:rsidRDefault="00786B2D">
      <w:pPr>
        <w:pStyle w:val="4"/>
        <w:rPr>
          <w:color w:val="0000CC"/>
        </w:rPr>
      </w:pPr>
      <w:r>
        <w:rPr>
          <w:color w:val="0000CC"/>
          <w:lang w:val="en-US"/>
        </w:rPr>
        <w:fldChar w:fldCharType="begin"/>
      </w:r>
      <w:r>
        <w:rPr>
          <w:color w:val="0000CC"/>
          <w:lang w:val="en-US"/>
        </w:rPr>
        <w:instrText xml:space="preserve"> REF _Ref75005936 \r \h </w:instrText>
      </w:r>
      <w:r>
        <w:rPr>
          <w:color w:val="0000CC"/>
          <w:lang w:val="en-US"/>
        </w:rPr>
      </w:r>
      <w:r>
        <w:rPr>
          <w:color w:val="0000CC"/>
          <w:lang w:val="en-US"/>
        </w:rPr>
        <w:fldChar w:fldCharType="separate"/>
      </w:r>
      <w:r>
        <w:rPr>
          <w:color w:val="0000CC"/>
          <w:lang w:val="en-US"/>
        </w:rPr>
        <w:t>Q.16)</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5B9"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_Ref75005936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Q.16)</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5BA" w14:textId="77777777" w:rsidR="00EA567C" w:rsidRDefault="00786B2D">
      <w:pPr>
        <w:pStyle w:val="a9"/>
        <w:numPr>
          <w:ilvl w:val="0"/>
          <w:numId w:val="30"/>
        </w:numPr>
        <w:overflowPunct/>
        <w:autoSpaceDE/>
        <w:autoSpaceDN/>
        <w:adjustRightInd/>
        <w:spacing w:after="120" w:line="259" w:lineRule="auto"/>
        <w:contextualSpacing w:val="0"/>
        <w:jc w:val="both"/>
        <w:rPr>
          <w:color w:val="0000CC"/>
        </w:rPr>
      </w:pPr>
      <w:bookmarkStart w:id="111" w:name="_Ref75005936"/>
      <w:bookmarkStart w:id="112" w:name="_Ref75089914"/>
      <w:r>
        <w:rPr>
          <w:color w:val="0000CC"/>
        </w:rPr>
        <w:t>When switching from SDT to non-SDT via CCCH-based approach with anchor gNB, after network receives the 2</w:t>
      </w:r>
      <w:r>
        <w:rPr>
          <w:color w:val="0000CC"/>
          <w:vertAlign w:val="superscript"/>
        </w:rPr>
        <w:t>nd</w:t>
      </w:r>
      <w:r>
        <w:rPr>
          <w:color w:val="0000CC"/>
        </w:rPr>
        <w:t xml:space="preserve"> </w:t>
      </w:r>
      <w:r>
        <w:rPr>
          <w:i/>
          <w:iCs/>
          <w:color w:val="0000CC"/>
        </w:rPr>
        <w:t>RRCResumeRequest</w:t>
      </w:r>
      <w:r>
        <w:rPr>
          <w:color w:val="0000CC"/>
        </w:rPr>
        <w:t xml:space="preserve"> msg, does the anchor gNB generate another new KgNB associated with the same serving/target gNB?</w:t>
      </w:r>
      <w:bookmarkEnd w:id="111"/>
      <w:r>
        <w:rPr>
          <w:color w:val="0000CC"/>
        </w:rPr>
        <w:t xml:space="preserve"> please justify your response and provide further details on any open points not addressed here or in other questions in relation to this scenario</w:t>
      </w:r>
      <w:r>
        <w:rPr>
          <w:rStyle w:val="ad"/>
        </w:rPr>
        <w:t>.</w:t>
      </w:r>
      <w:bookmarkEnd w:id="112"/>
    </w:p>
    <w:tbl>
      <w:tblPr>
        <w:tblStyle w:val="ab"/>
        <w:tblW w:w="0" w:type="auto"/>
        <w:tblLook w:val="04A0" w:firstRow="1" w:lastRow="0" w:firstColumn="1" w:lastColumn="0" w:noHBand="0" w:noVBand="1"/>
      </w:tblPr>
      <w:tblGrid>
        <w:gridCol w:w="1971"/>
        <w:gridCol w:w="1199"/>
        <w:gridCol w:w="6180"/>
      </w:tblGrid>
      <w:tr w:rsidR="00EA567C" w14:paraId="15B4B5BE" w14:textId="77777777">
        <w:tc>
          <w:tcPr>
            <w:tcW w:w="1975" w:type="dxa"/>
            <w:shd w:val="clear" w:color="auto" w:fill="BFBFBF" w:themeFill="background1" w:themeFillShade="BF"/>
          </w:tcPr>
          <w:p w14:paraId="15B4B5BB"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5BC" w14:textId="77777777" w:rsidR="00EA567C" w:rsidRDefault="00786B2D">
            <w:pPr>
              <w:spacing w:after="0"/>
              <w:jc w:val="center"/>
              <w:rPr>
                <w:b/>
                <w:bCs/>
              </w:rPr>
            </w:pPr>
            <w:r>
              <w:rPr>
                <w:b/>
                <w:bCs/>
              </w:rPr>
              <w:t>Yes/No</w:t>
            </w:r>
          </w:p>
        </w:tc>
        <w:tc>
          <w:tcPr>
            <w:tcW w:w="6205" w:type="dxa"/>
            <w:shd w:val="clear" w:color="auto" w:fill="BFBFBF" w:themeFill="background1" w:themeFillShade="BF"/>
          </w:tcPr>
          <w:p w14:paraId="15B4B5BD" w14:textId="77777777" w:rsidR="00EA567C" w:rsidRDefault="00786B2D">
            <w:pPr>
              <w:spacing w:after="0"/>
              <w:jc w:val="center"/>
              <w:rPr>
                <w:b/>
                <w:bCs/>
              </w:rPr>
            </w:pPr>
            <w:r>
              <w:rPr>
                <w:b/>
                <w:bCs/>
              </w:rPr>
              <w:t>Justification</w:t>
            </w:r>
          </w:p>
        </w:tc>
      </w:tr>
      <w:tr w:rsidR="00EA567C" w14:paraId="15B4B5C2" w14:textId="77777777">
        <w:tc>
          <w:tcPr>
            <w:tcW w:w="1975" w:type="dxa"/>
          </w:tcPr>
          <w:p w14:paraId="15B4B5BF" w14:textId="77777777" w:rsidR="00EA567C" w:rsidRDefault="00786B2D">
            <w:pPr>
              <w:spacing w:after="0"/>
            </w:pPr>
            <w:r>
              <w:t>Huawei, HiSilicon</w:t>
            </w:r>
          </w:p>
        </w:tc>
        <w:tc>
          <w:tcPr>
            <w:tcW w:w="1170" w:type="dxa"/>
          </w:tcPr>
          <w:p w14:paraId="15B4B5C0" w14:textId="77777777" w:rsidR="00EA567C" w:rsidRDefault="00786B2D">
            <w:pPr>
              <w:spacing w:after="0"/>
            </w:pPr>
            <w:r>
              <w:t>It depends on SA3</w:t>
            </w:r>
          </w:p>
        </w:tc>
        <w:tc>
          <w:tcPr>
            <w:tcW w:w="6205" w:type="dxa"/>
          </w:tcPr>
          <w:p w14:paraId="15B4B5C1" w14:textId="77777777" w:rsidR="00EA567C" w:rsidRDefault="00786B2D">
            <w:pPr>
              <w:spacing w:after="0"/>
            </w:pPr>
            <w:r>
              <w:t>This is similar issue as in question Q.2) and it is common for both CCCH and DCCH based solutions. In our opinion it can be consulted with SA3 whether new KgNB* has to be used, but if it has to be, then with CCCH-based solution it can be derived horizontally as presented above.</w:t>
            </w:r>
          </w:p>
        </w:tc>
      </w:tr>
      <w:tr w:rsidR="00EA567C" w14:paraId="15B4B5CD" w14:textId="77777777">
        <w:trPr>
          <w:trHeight w:val="43"/>
        </w:trPr>
        <w:tc>
          <w:tcPr>
            <w:tcW w:w="1975" w:type="dxa"/>
          </w:tcPr>
          <w:p w14:paraId="15B4B5C3" w14:textId="77777777" w:rsidR="00EA567C" w:rsidRDefault="00786B2D">
            <w:pPr>
              <w:spacing w:after="0"/>
            </w:pPr>
            <w:r>
              <w:t>ZTE</w:t>
            </w:r>
          </w:p>
        </w:tc>
        <w:tc>
          <w:tcPr>
            <w:tcW w:w="1170" w:type="dxa"/>
          </w:tcPr>
          <w:p w14:paraId="15B4B5C4" w14:textId="77777777" w:rsidR="00EA567C" w:rsidRDefault="00786B2D">
            <w:pPr>
              <w:spacing w:after="0"/>
            </w:pPr>
            <w:r>
              <w:t>See Q10</w:t>
            </w:r>
          </w:p>
        </w:tc>
        <w:tc>
          <w:tcPr>
            <w:tcW w:w="6205" w:type="dxa"/>
          </w:tcPr>
          <w:p w14:paraId="15B4B5C5" w14:textId="77777777" w:rsidR="00EA567C" w:rsidRDefault="00786B2D">
            <w:pPr>
              <w:spacing w:after="0"/>
            </w:pPr>
            <w:r>
              <w:t xml:space="preserve">The situation is different between DCCH and CCCH solutions. </w:t>
            </w:r>
          </w:p>
          <w:p w14:paraId="15B4B5C6" w14:textId="77777777" w:rsidR="00EA567C" w:rsidRDefault="00786B2D">
            <w:pPr>
              <w:spacing w:after="0"/>
            </w:pPr>
            <w:r>
              <w:t xml:space="preserve">In case of DCCH solution, the difference is that the DCCCH RRC message will always be routed to the node that terminates the RRC layer and hence the response message (i.e. RRCResume) can be generated by this node. Count continues in both DL and UL and there is no interruption to data and no new keys are derived during the process. </w:t>
            </w:r>
          </w:p>
          <w:p w14:paraId="15B4B5C7" w14:textId="77777777" w:rsidR="00EA567C" w:rsidRDefault="00EA567C">
            <w:pPr>
              <w:spacing w:after="0"/>
            </w:pPr>
          </w:p>
          <w:p w14:paraId="15B4B5C8" w14:textId="77777777" w:rsidR="00EA567C" w:rsidRDefault="00786B2D">
            <w:pPr>
              <w:spacing w:after="0"/>
            </w:pPr>
            <w:r>
              <w:t xml:space="preserve">In case of CCCH message, the message is always routed to the node identified by the I-RNTI (i.e. the old anchor gNB). However, the old anchor gNB does not terminate the RRC layer in case of anchor relocation. So, the old anchor gNB needs to process the received second RRCResumeReq and the generate new key and provide the new key to </w:t>
            </w:r>
            <w:r>
              <w:lastRenderedPageBreak/>
              <w:t xml:space="preserve">the new anchor gNB (although anchor relocation would have happened) and the new gNB would then have to start using the new keys. This needs a new procedure for anchor relocation case (i.e. the old anchor gNB will have to send the new key without UE context in this case and the old anchor gNB would need to retain the UE context even after the UE anchor relocation to support this case). </w:t>
            </w:r>
          </w:p>
          <w:p w14:paraId="15B4B5C9" w14:textId="77777777" w:rsidR="00EA567C" w:rsidRDefault="00EA567C">
            <w:pPr>
              <w:spacing w:after="0"/>
            </w:pPr>
          </w:p>
          <w:p w14:paraId="15B4B5CA" w14:textId="77777777" w:rsidR="00EA567C" w:rsidRDefault="00786B2D">
            <w:pPr>
              <w:spacing w:after="0"/>
            </w:pPr>
            <w:r>
              <w:t>Then, further question is which key is used as the base key for the 2</w:t>
            </w:r>
            <w:r>
              <w:rPr>
                <w:vertAlign w:val="superscript"/>
              </w:rPr>
              <w:t>nd</w:t>
            </w:r>
            <w:r>
              <w:t xml:space="preserve"> key derivation? Is it the key in the stored UE AS security context or is it the first key (generated after the first RRCResume procedure) and this issue is then same as Q10 above. </w:t>
            </w:r>
          </w:p>
          <w:p w14:paraId="15B4B5CB" w14:textId="77777777" w:rsidR="00EA567C" w:rsidRDefault="00EA567C">
            <w:pPr>
              <w:spacing w:after="0"/>
            </w:pPr>
          </w:p>
          <w:p w14:paraId="15B4B5CC" w14:textId="77777777" w:rsidR="00EA567C" w:rsidRDefault="00786B2D">
            <w:pPr>
              <w:spacing w:after="0"/>
            </w:pPr>
            <w:r>
              <w:t xml:space="preserve">The final question is handling of COUNT. It seems the proponents want to reuse the existing RRCResume procedure, in which case count will be reset, however, when count is reset, there will be out of order packets and/or redundancy in the DL (similar to UL). Further, any packets transmitted in DL during the interaction with the old anchor gNB on Xn, will be lost and will need to be recovered at PDCP level. </w:t>
            </w:r>
          </w:p>
        </w:tc>
      </w:tr>
      <w:tr w:rsidR="00EA567C" w14:paraId="15B4B5D2" w14:textId="77777777">
        <w:trPr>
          <w:trHeight w:val="43"/>
        </w:trPr>
        <w:tc>
          <w:tcPr>
            <w:tcW w:w="1975" w:type="dxa"/>
          </w:tcPr>
          <w:p w14:paraId="15B4B5CE" w14:textId="77777777" w:rsidR="00EA567C" w:rsidRDefault="00786B2D">
            <w:pPr>
              <w:spacing w:after="0"/>
            </w:pPr>
            <w:r>
              <w:lastRenderedPageBreak/>
              <w:t>InterDigital</w:t>
            </w:r>
          </w:p>
        </w:tc>
        <w:tc>
          <w:tcPr>
            <w:tcW w:w="1170" w:type="dxa"/>
          </w:tcPr>
          <w:p w14:paraId="15B4B5CF" w14:textId="77777777" w:rsidR="00EA567C" w:rsidRDefault="00786B2D">
            <w:pPr>
              <w:spacing w:after="0"/>
            </w:pPr>
            <w:r>
              <w:t>Yes</w:t>
            </w:r>
          </w:p>
        </w:tc>
        <w:tc>
          <w:tcPr>
            <w:tcW w:w="6205" w:type="dxa"/>
          </w:tcPr>
          <w:p w14:paraId="15B4B5D0" w14:textId="77777777" w:rsidR="00EA567C" w:rsidRDefault="00786B2D">
            <w:pPr>
              <w:spacing w:after="0"/>
            </w:pPr>
            <w:r>
              <w:t xml:space="preserve">When the UE context is moved from the anchor to a new serving gNB, then new keys should be derived as the </w:t>
            </w:r>
            <w:r>
              <w:rPr>
                <w:rFonts w:hint="eastAsia"/>
              </w:rPr>
              <w:t>o</w:t>
            </w:r>
            <w:r>
              <w:t>ld keys are associated with an anchoring point and the anchoring point is moved to the other gNB for this case.</w:t>
            </w:r>
          </w:p>
          <w:p w14:paraId="15B4B5D1" w14:textId="77777777" w:rsidR="00EA567C" w:rsidRDefault="00786B2D">
            <w:pPr>
              <w:spacing w:after="0"/>
            </w:pPr>
            <w:r>
              <w:t>This applies for the DCCH solution as well.</w:t>
            </w:r>
          </w:p>
        </w:tc>
      </w:tr>
      <w:tr w:rsidR="00EA567C" w14:paraId="15B4B5D7" w14:textId="77777777">
        <w:tc>
          <w:tcPr>
            <w:tcW w:w="1975" w:type="dxa"/>
          </w:tcPr>
          <w:p w14:paraId="15B4B5D3" w14:textId="77777777" w:rsidR="00EA567C" w:rsidRDefault="00786B2D">
            <w:pPr>
              <w:spacing w:after="0"/>
            </w:pPr>
            <w:r>
              <w:t>CATT</w:t>
            </w:r>
          </w:p>
        </w:tc>
        <w:tc>
          <w:tcPr>
            <w:tcW w:w="1170" w:type="dxa"/>
          </w:tcPr>
          <w:p w14:paraId="15B4B5D4" w14:textId="77777777" w:rsidR="00EA567C" w:rsidRDefault="00786B2D">
            <w:pPr>
              <w:spacing w:after="0"/>
            </w:pPr>
            <w:r>
              <w:t>Yes</w:t>
            </w:r>
          </w:p>
        </w:tc>
        <w:tc>
          <w:tcPr>
            <w:tcW w:w="6205" w:type="dxa"/>
          </w:tcPr>
          <w:p w14:paraId="15B4B5D5" w14:textId="77777777" w:rsidR="00EA567C" w:rsidRDefault="00786B2D">
            <w:pPr>
              <w:spacing w:after="0"/>
            </w:pPr>
            <w:r>
              <w:t>1)</w:t>
            </w:r>
            <w:r>
              <w:tab/>
              <w:t>If PDCP COUNT is reset with CCCH-based approach, the security key needs to be updated in both UE and gNB sides.</w:t>
            </w:r>
          </w:p>
          <w:p w14:paraId="15B4B5D6" w14:textId="77777777" w:rsidR="00EA567C" w:rsidRDefault="00786B2D">
            <w:pPr>
              <w:spacing w:after="0"/>
            </w:pPr>
            <w:r>
              <w:t>2)</w:t>
            </w:r>
            <w:r>
              <w:tab/>
              <w:t>The issue is not common for both CCCH and DCCH based solutions as PDCP COUNT is not reset with DCCH based solution.</w:t>
            </w:r>
          </w:p>
        </w:tc>
      </w:tr>
      <w:tr w:rsidR="00EA567C" w14:paraId="15B4B5DB" w14:textId="77777777">
        <w:tc>
          <w:tcPr>
            <w:tcW w:w="1975" w:type="dxa"/>
          </w:tcPr>
          <w:p w14:paraId="15B4B5D8" w14:textId="77777777" w:rsidR="00EA567C" w:rsidRDefault="00786B2D">
            <w:pPr>
              <w:spacing w:after="0"/>
            </w:pPr>
            <w:r>
              <w:rPr>
                <w:rFonts w:eastAsiaTheme="minorEastAsia" w:hint="eastAsia"/>
              </w:rPr>
              <w:t>Samsung</w:t>
            </w:r>
          </w:p>
        </w:tc>
        <w:tc>
          <w:tcPr>
            <w:tcW w:w="1170" w:type="dxa"/>
          </w:tcPr>
          <w:p w14:paraId="15B4B5D9" w14:textId="77777777" w:rsidR="00EA567C" w:rsidRDefault="00EA567C">
            <w:pPr>
              <w:spacing w:after="0"/>
            </w:pPr>
          </w:p>
        </w:tc>
        <w:tc>
          <w:tcPr>
            <w:tcW w:w="6205" w:type="dxa"/>
          </w:tcPr>
          <w:p w14:paraId="15B4B5DA" w14:textId="77777777" w:rsidR="00EA567C" w:rsidRDefault="00786B2D">
            <w:pPr>
              <w:spacing w:after="0"/>
            </w:pPr>
            <w:r>
              <w:rPr>
                <w:rFonts w:eastAsiaTheme="minorEastAsia" w:hint="eastAsia"/>
              </w:rPr>
              <w:t>Depends on solution agreed for Q 10</w:t>
            </w:r>
          </w:p>
        </w:tc>
      </w:tr>
      <w:tr w:rsidR="00EA567C" w14:paraId="15B4B5DF" w14:textId="77777777">
        <w:tc>
          <w:tcPr>
            <w:tcW w:w="1975" w:type="dxa"/>
          </w:tcPr>
          <w:p w14:paraId="15B4B5DC" w14:textId="77777777" w:rsidR="00EA567C" w:rsidRDefault="00786B2D">
            <w:pPr>
              <w:spacing w:after="0"/>
              <w:rPr>
                <w:rFonts w:eastAsiaTheme="minorEastAsia"/>
              </w:rPr>
            </w:pPr>
            <w:r>
              <w:rPr>
                <w:rFonts w:eastAsiaTheme="minorEastAsia" w:hint="eastAsia"/>
              </w:rPr>
              <w:t>Fujitsu</w:t>
            </w:r>
          </w:p>
        </w:tc>
        <w:tc>
          <w:tcPr>
            <w:tcW w:w="1170" w:type="dxa"/>
          </w:tcPr>
          <w:p w14:paraId="15B4B5DD" w14:textId="77777777" w:rsidR="00EA567C" w:rsidRDefault="00786B2D">
            <w:pPr>
              <w:spacing w:after="0"/>
            </w:pPr>
            <w:r>
              <w:rPr>
                <w:rFonts w:eastAsiaTheme="minorEastAsia" w:hint="eastAsia"/>
              </w:rPr>
              <w:t>Yes</w:t>
            </w:r>
          </w:p>
        </w:tc>
        <w:tc>
          <w:tcPr>
            <w:tcW w:w="6205" w:type="dxa"/>
          </w:tcPr>
          <w:p w14:paraId="15B4B5DE" w14:textId="77777777" w:rsidR="00EA567C" w:rsidRDefault="00786B2D">
            <w:pPr>
              <w:spacing w:after="0"/>
              <w:rPr>
                <w:rFonts w:eastAsiaTheme="minorEastAsia"/>
              </w:rPr>
            </w:pPr>
            <w:r>
              <w:rPr>
                <w:rFonts w:eastAsiaTheme="minorEastAsia" w:hint="eastAsia"/>
              </w:rPr>
              <w:t xml:space="preserve">We understand that </w:t>
            </w:r>
            <w:r>
              <w:rPr>
                <w:rFonts w:eastAsiaTheme="minorEastAsia"/>
              </w:rPr>
              <w:t xml:space="preserve">the old (anchor) gNB would deal with KgNB </w:t>
            </w:r>
            <w:r>
              <w:t>according to 2</w:t>
            </w:r>
            <w:r>
              <w:rPr>
                <w:vertAlign w:val="superscript"/>
              </w:rPr>
              <w:t>nd</w:t>
            </w:r>
            <w:r>
              <w:t xml:space="preserve"> RRCResumeRequest msg</w:t>
            </w:r>
            <w:r>
              <w:rPr>
                <w:rFonts w:eastAsiaTheme="minorEastAsia"/>
              </w:rPr>
              <w:t>.</w:t>
            </w:r>
          </w:p>
        </w:tc>
      </w:tr>
      <w:tr w:rsidR="00EA567C" w14:paraId="15B4B5E4" w14:textId="77777777">
        <w:tc>
          <w:tcPr>
            <w:tcW w:w="1975" w:type="dxa"/>
          </w:tcPr>
          <w:p w14:paraId="15B4B5E0" w14:textId="77777777" w:rsidR="00EA567C" w:rsidRDefault="00786B2D">
            <w:pPr>
              <w:spacing w:after="0"/>
            </w:pPr>
            <w:r>
              <w:rPr>
                <w:rFonts w:hint="eastAsia"/>
              </w:rPr>
              <w:t>LG</w:t>
            </w:r>
          </w:p>
        </w:tc>
        <w:tc>
          <w:tcPr>
            <w:tcW w:w="1170" w:type="dxa"/>
          </w:tcPr>
          <w:p w14:paraId="15B4B5E1" w14:textId="77777777" w:rsidR="00EA567C" w:rsidRDefault="00786B2D">
            <w:pPr>
              <w:spacing w:after="0"/>
              <w:rPr>
                <w:rFonts w:eastAsia="Malgun Gothic"/>
                <w:lang w:eastAsia="ko-KR"/>
              </w:rPr>
            </w:pPr>
            <w:r>
              <w:rPr>
                <w:rFonts w:eastAsia="Malgun Gothic" w:hint="eastAsia"/>
                <w:lang w:eastAsia="ko-KR"/>
              </w:rPr>
              <w:t>Check with SA3</w:t>
            </w:r>
          </w:p>
        </w:tc>
        <w:tc>
          <w:tcPr>
            <w:tcW w:w="6205" w:type="dxa"/>
          </w:tcPr>
          <w:p w14:paraId="15B4B5E2" w14:textId="77777777" w:rsidR="00EA567C" w:rsidRDefault="00786B2D">
            <w:pPr>
              <w:spacing w:after="0"/>
              <w:rPr>
                <w:rFonts w:eastAsia="Malgun Gothic"/>
                <w:lang w:eastAsia="ko-KR"/>
              </w:rPr>
            </w:pPr>
            <w:r>
              <w:rPr>
                <w:rFonts w:eastAsia="Malgun Gothic"/>
                <w:lang w:eastAsia="ko-KR"/>
              </w:rPr>
              <w:t>Same comments as Q.2. W</w:t>
            </w:r>
            <w:r>
              <w:rPr>
                <w:rFonts w:eastAsia="Malgun Gothic" w:hint="eastAsia"/>
                <w:lang w:eastAsia="ko-KR"/>
              </w:rPr>
              <w:t xml:space="preserve">e first have to check with SA3 whether this is a real issue. </w:t>
            </w:r>
            <w:r>
              <w:rPr>
                <w:rFonts w:eastAsia="Malgun Gothic"/>
                <w:lang w:eastAsia="ko-KR"/>
              </w:rPr>
              <w:t>And, even if this is an issue, terminate the current SDT procedure and initiate a new SDT procedure can work without any security issue.</w:t>
            </w:r>
          </w:p>
          <w:p w14:paraId="15B4B5E3" w14:textId="77777777" w:rsidR="00EA567C" w:rsidRDefault="00786B2D">
            <w:pPr>
              <w:spacing w:after="0"/>
              <w:rPr>
                <w:rFonts w:eastAsia="Malgun Gothic"/>
                <w:lang w:eastAsia="ko-KR"/>
              </w:rPr>
            </w:pPr>
            <w:r>
              <w:rPr>
                <w:rFonts w:eastAsia="Malgun Gothic"/>
                <w:lang w:eastAsia="ko-KR"/>
              </w:rPr>
              <w:t>Some companies commented that PDCP count is reset when switching from SDT to non-SDT via CCCH-based approach. However, we don’t think PDCP count is reset in this case, as explained in Q.12.</w:t>
            </w:r>
          </w:p>
        </w:tc>
      </w:tr>
      <w:tr w:rsidR="008F7925" w14:paraId="7CE95CE9" w14:textId="77777777">
        <w:tc>
          <w:tcPr>
            <w:tcW w:w="1975" w:type="dxa"/>
          </w:tcPr>
          <w:p w14:paraId="248AB916" w14:textId="3346AC4F" w:rsidR="008F7925" w:rsidRDefault="008F7925" w:rsidP="008F7925">
            <w:pPr>
              <w:spacing w:after="0"/>
            </w:pPr>
            <w:r>
              <w:t>Intel</w:t>
            </w:r>
          </w:p>
        </w:tc>
        <w:tc>
          <w:tcPr>
            <w:tcW w:w="1170" w:type="dxa"/>
          </w:tcPr>
          <w:p w14:paraId="78EB4A92" w14:textId="394D2BCA" w:rsidR="008F7925" w:rsidRDefault="008F7925" w:rsidP="008F7925">
            <w:pPr>
              <w:spacing w:after="0"/>
              <w:rPr>
                <w:rFonts w:eastAsia="Malgun Gothic"/>
                <w:lang w:eastAsia="ko-KR"/>
              </w:rPr>
            </w:pPr>
            <w:r>
              <w:t>-</w:t>
            </w:r>
          </w:p>
        </w:tc>
        <w:tc>
          <w:tcPr>
            <w:tcW w:w="6205" w:type="dxa"/>
          </w:tcPr>
          <w:p w14:paraId="6095BD19" w14:textId="77777777" w:rsidR="008F7925" w:rsidRDefault="008F7925" w:rsidP="008F7925">
            <w:pPr>
              <w:spacing w:after="0"/>
            </w:pPr>
            <w:r>
              <w:t>We suggest asking this question to SA3. We understand that solution details discussed in other questions (e.g. whether PDCP COUNT is or not reset, which security key is used, etc). Therefore, RAN2 agreements (if any) on those other topics would be important to flag and RAN3 would also need to be kept on the loop.</w:t>
            </w:r>
          </w:p>
          <w:p w14:paraId="7598AB1D" w14:textId="6B844451" w:rsidR="008F7925" w:rsidRDefault="008F7925" w:rsidP="008F7925">
            <w:pPr>
              <w:spacing w:after="0"/>
              <w:rPr>
                <w:rFonts w:eastAsia="Malgun Gothic"/>
                <w:lang w:eastAsia="ko-KR"/>
              </w:rPr>
            </w:pPr>
            <w:r>
              <w:t xml:space="preserve">In addition, we share ZTE’s view that DCCH approach does not have any issue related to this. </w:t>
            </w:r>
          </w:p>
        </w:tc>
      </w:tr>
      <w:tr w:rsidR="00D56910" w14:paraId="23B63F6C" w14:textId="77777777">
        <w:tc>
          <w:tcPr>
            <w:tcW w:w="1975" w:type="dxa"/>
          </w:tcPr>
          <w:p w14:paraId="60C9E207" w14:textId="0202C5EA" w:rsidR="00D56910" w:rsidRDefault="00D56910" w:rsidP="00D56910">
            <w:pPr>
              <w:spacing w:after="0"/>
            </w:pPr>
            <w:r>
              <w:rPr>
                <w:rFonts w:hint="eastAsia"/>
                <w:lang w:eastAsia="zh-CN"/>
              </w:rPr>
              <w:t>N</w:t>
            </w:r>
            <w:r>
              <w:rPr>
                <w:lang w:eastAsia="zh-CN"/>
              </w:rPr>
              <w:t>EC</w:t>
            </w:r>
          </w:p>
        </w:tc>
        <w:tc>
          <w:tcPr>
            <w:tcW w:w="1170" w:type="dxa"/>
          </w:tcPr>
          <w:p w14:paraId="3BF10B9F" w14:textId="3F6F57BB" w:rsidR="00D56910" w:rsidRDefault="00D56910" w:rsidP="00D56910">
            <w:pPr>
              <w:spacing w:after="0"/>
            </w:pPr>
            <w:r>
              <w:t xml:space="preserve">New security key is regenerated, but it is the same as previous </w:t>
            </w:r>
            <w:r>
              <w:lastRenderedPageBreak/>
              <w:t>one used during the SDT procedure</w:t>
            </w:r>
          </w:p>
        </w:tc>
        <w:tc>
          <w:tcPr>
            <w:tcW w:w="6205" w:type="dxa"/>
          </w:tcPr>
          <w:p w14:paraId="2D8583D8" w14:textId="77777777" w:rsidR="00D56910" w:rsidRDefault="00D56910" w:rsidP="00D56910">
            <w:pPr>
              <w:spacing w:after="0"/>
              <w:rPr>
                <w:lang w:eastAsia="zh-CN"/>
              </w:rPr>
            </w:pPr>
            <w:r>
              <w:rPr>
                <w:rFonts w:hint="eastAsia"/>
                <w:lang w:eastAsia="zh-CN"/>
              </w:rPr>
              <w:lastRenderedPageBreak/>
              <w:t>A</w:t>
            </w:r>
            <w:r>
              <w:rPr>
                <w:lang w:eastAsia="zh-CN"/>
              </w:rPr>
              <w:t xml:space="preserve">ccording to TS33.501, </w:t>
            </w:r>
            <w:r>
              <w:t>6.8</w:t>
            </w:r>
            <w:r w:rsidRPr="003D69D1">
              <w:t>.2.1.3</w:t>
            </w:r>
            <w:r>
              <w:rPr>
                <w:lang w:eastAsia="zh-CN"/>
              </w:rPr>
              <w:t>,</w:t>
            </w:r>
          </w:p>
          <w:p w14:paraId="761FB6F4" w14:textId="77777777" w:rsidR="00D56910" w:rsidRDefault="00D56910" w:rsidP="00D56910">
            <w:pPr>
              <w:spacing w:after="0"/>
              <w:rPr>
                <w:lang w:eastAsia="zh-CN"/>
              </w:rPr>
            </w:pPr>
            <w:r>
              <w:rPr>
                <w:lang w:eastAsia="zh-CN"/>
              </w:rPr>
              <w:t xml:space="preserve"> “</w:t>
            </w:r>
            <w:r>
              <w:t>The source gNB retrieves the stored UE context including the UE 5G AS security context from its database using the I-RNTI. The source gNB calculates K</w:t>
            </w:r>
            <w:r w:rsidRPr="00E003BA">
              <w:rPr>
                <w:vertAlign w:val="subscript"/>
              </w:rPr>
              <w:t>gNB</w:t>
            </w:r>
            <w:r>
              <w:t xml:space="preserve">* using the target cell PCI, target ARFCN-DL and </w:t>
            </w:r>
            <w:r w:rsidRPr="00206C83">
              <w:t>the K</w:t>
            </w:r>
            <w:r w:rsidRPr="00206C83">
              <w:rPr>
                <w:vertAlign w:val="subscript"/>
              </w:rPr>
              <w:t>gNB</w:t>
            </w:r>
            <w:r w:rsidRPr="00206C83">
              <w:t xml:space="preserve">/NH </w:t>
            </w:r>
            <w:r>
              <w:t>in the current UE 5G AS security context based on</w:t>
            </w:r>
            <w:r w:rsidRPr="00206C83">
              <w:t xml:space="preserve"> either a horizontal key derivation or a vertical key derivation according to </w:t>
            </w:r>
            <w:r>
              <w:t xml:space="preserve">whether </w:t>
            </w:r>
            <w:r w:rsidRPr="00206C83">
              <w:t xml:space="preserve"> </w:t>
            </w:r>
            <w:r w:rsidRPr="00206C83">
              <w:lastRenderedPageBreak/>
              <w:t xml:space="preserve">the </w:t>
            </w:r>
            <w:r>
              <w:t xml:space="preserve">source gNB has an unused pair of {NCC, NH} </w:t>
            </w:r>
            <w:r w:rsidRPr="00206C83">
              <w:t>as described in Annex A.11.</w:t>
            </w:r>
            <w:r>
              <w:t xml:space="preserve">” </w:t>
            </w:r>
          </w:p>
          <w:p w14:paraId="2957ADE0" w14:textId="39BAA567" w:rsidR="00D56910" w:rsidRDefault="00D56910" w:rsidP="00D56910">
            <w:pPr>
              <w:spacing w:after="0"/>
            </w:pPr>
            <w:r>
              <w:rPr>
                <w:lang w:eastAsia="zh-CN"/>
              </w:rPr>
              <w:t>the anchor gNB generate the security based on KgNB/NH in the current AS security text, and it will results in same security key used in previous SDT procedure.</w:t>
            </w:r>
          </w:p>
        </w:tc>
      </w:tr>
    </w:tbl>
    <w:p w14:paraId="15B4B5E5" w14:textId="77777777" w:rsidR="00EA567C" w:rsidRDefault="00EA567C">
      <w:pPr>
        <w:rPr>
          <w:rFonts w:ascii="Times New Roman" w:hAnsi="Times New Roman" w:cs="Times New Roman"/>
          <w:sz w:val="20"/>
          <w:szCs w:val="20"/>
        </w:rPr>
      </w:pPr>
    </w:p>
    <w:p w14:paraId="15B4B5E6" w14:textId="77777777" w:rsidR="00EA567C" w:rsidRDefault="00786B2D">
      <w:pPr>
        <w:pStyle w:val="2"/>
      </w:pPr>
      <w:bookmarkStart w:id="113" w:name="_Ref74125851"/>
      <w:bookmarkEnd w:id="109"/>
      <w:r>
        <w:t>DCCH-based approach</w:t>
      </w:r>
      <w:bookmarkEnd w:id="113"/>
    </w:p>
    <w:p w14:paraId="15B4B5E7"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lang w:eastAsia="x-none"/>
        </w:rPr>
        <w:t xml:space="preserve">This section aims to clarify how </w:t>
      </w:r>
      <w:r>
        <w:rPr>
          <w:rFonts w:ascii="Times New Roman" w:hAnsi="Times New Roman" w:cs="Times New Roman"/>
          <w:sz w:val="20"/>
          <w:szCs w:val="20"/>
        </w:rPr>
        <w:t xml:space="preserve">DCCH-based approach work to enable non-SDT switching from an ongoing SDT session considering the inputs provided by companies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_Ref74089061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_Ref74089097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[22]</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p w14:paraId="15B4B5E8" w14:textId="77777777" w:rsidR="00EA567C" w:rsidRDefault="00786B2D">
      <w:pPr>
        <w:pStyle w:val="3"/>
      </w:pPr>
      <w:bookmarkStart w:id="114" w:name="_Ref75008109"/>
      <w:r>
        <w:t>[DCCH p</w:t>
      </w:r>
      <w:bookmarkStart w:id="115" w:name="_Ref74126151"/>
      <w:r>
        <w:t>oint (1)]</w:t>
      </w:r>
      <w:bookmarkEnd w:id="115"/>
      <w:r>
        <w:t xml:space="preserve"> Detection of non-SDT data</w:t>
      </w:r>
      <w:bookmarkEnd w:id="114"/>
    </w:p>
    <w:p w14:paraId="15B4B5E9"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lang w:eastAsia="x-none"/>
        </w:rPr>
        <w:t xml:space="preserve">For DCCH-approach, it is assumed that the PDCP COUNT is maintained as the SDT session fallbacks into </w:t>
      </w:r>
      <w:r>
        <w:rPr>
          <w:rFonts w:ascii="Times New Roman" w:hAnsi="Times New Roman" w:cs="Times New Roman"/>
          <w:sz w:val="20"/>
          <w:szCs w:val="20"/>
        </w:rPr>
        <w:t xml:space="preserve">CONNECTED upon gNB sends </w:t>
      </w:r>
      <w:r>
        <w:rPr>
          <w:rFonts w:ascii="Times New Roman" w:hAnsi="Times New Roman" w:cs="Times New Roman"/>
          <w:i/>
          <w:iCs/>
          <w:sz w:val="20"/>
          <w:szCs w:val="20"/>
        </w:rPr>
        <w:t>RRCResume</w:t>
      </w:r>
      <w:r>
        <w:rPr>
          <w:rFonts w:ascii="Times New Roman" w:hAnsi="Times New Roman" w:cs="Times New Roman"/>
          <w:sz w:val="20"/>
          <w:szCs w:val="20"/>
        </w:rPr>
        <w:t xml:space="preserve"> message during the ongoing SDT session.</w:t>
      </w:r>
    </w:p>
    <w:p w14:paraId="15B4B5EA" w14:textId="77777777" w:rsidR="00EA567C" w:rsidRDefault="00786B2D">
      <w:pPr>
        <w:pStyle w:val="observ"/>
        <w:ind w:left="360"/>
        <w:rPr>
          <w:lang w:eastAsia="x-none"/>
        </w:rPr>
      </w:pPr>
      <w:r>
        <w:rPr>
          <w:lang w:eastAsia="x-none"/>
        </w:rPr>
        <w:t xml:space="preserve">When switching from SDT to non-SDT via DCCH-based approach, the PDCP COUNT is maintained for SDT DRBs (i.e. the SDT session fallbacks into </w:t>
      </w:r>
      <w:r>
        <w:t xml:space="preserve">CONNECTED upon gNB sends </w:t>
      </w:r>
      <w:r>
        <w:rPr>
          <w:i/>
          <w:iCs/>
        </w:rPr>
        <w:t>RRCResume</w:t>
      </w:r>
      <w:r>
        <w:t xml:space="preserve"> message during the ongoing SDT session)</w:t>
      </w:r>
      <w:r>
        <w:rPr>
          <w:lang w:eastAsia="x-none"/>
        </w:rPr>
        <w:t>.</w:t>
      </w:r>
    </w:p>
    <w:p w14:paraId="15B4B5EB" w14:textId="77777777" w:rsidR="00EA567C" w:rsidRDefault="00786B2D">
      <w:pPr>
        <w:rPr>
          <w:rFonts w:ascii="Times New Roman" w:hAnsi="Times New Roman" w:cs="Times New Roman"/>
          <w:sz w:val="20"/>
          <w:szCs w:val="20"/>
        </w:rPr>
      </w:pPr>
      <w:r>
        <w:rPr>
          <w:rFonts w:ascii="Times New Roman" w:hAnsi="Times New Roman" w:cs="Times New Roman"/>
          <w:sz w:val="20"/>
          <w:szCs w:val="20"/>
        </w:rPr>
        <w:t>The sub-section below discusses how/what information the UE shares with the network when non-SDT data becomes available during an ongoing SDT session when using DCCH-based approach.</w:t>
      </w:r>
    </w:p>
    <w:p w14:paraId="15B4B5EC" w14:textId="77777777" w:rsidR="00EA567C" w:rsidRDefault="00786B2D">
      <w:pPr>
        <w:pStyle w:val="4"/>
        <w:rPr>
          <w:lang w:val="en-GB"/>
        </w:rPr>
      </w:pPr>
      <w:r>
        <w:rPr>
          <w:lang w:val="en-US"/>
        </w:rPr>
        <w:t>[DCCH p</w:t>
      </w:r>
      <w:r>
        <w:t>oint (1</w:t>
      </w:r>
      <w:r>
        <w:rPr>
          <w:lang w:val="en-US"/>
        </w:rPr>
        <w:t>.1</w:t>
      </w:r>
      <w:r>
        <w:t>)</w:t>
      </w:r>
      <w:r>
        <w:rPr>
          <w:lang w:val="en-US"/>
        </w:rPr>
        <w:t>]</w:t>
      </w:r>
      <w:r>
        <w:t xml:space="preserve"> </w:t>
      </w:r>
      <w:r>
        <w:rPr>
          <w:lang w:val="en-GB"/>
        </w:rPr>
        <w:t>NAS/AS trigger</w:t>
      </w:r>
    </w:p>
    <w:p w14:paraId="15B4B5ED" w14:textId="77777777" w:rsidR="00EA567C" w:rsidRDefault="00786B2D">
      <w:pPr>
        <w:rPr>
          <w:rFonts w:ascii="Times New Roman" w:hAnsi="Times New Roman" w:cs="Times New Roman"/>
          <w:sz w:val="20"/>
          <w:szCs w:val="20"/>
          <w:lang w:eastAsia="x-none"/>
        </w:rPr>
      </w:pPr>
      <w:r>
        <w:rPr>
          <w:rFonts w:ascii="Times New Roman" w:hAnsi="Times New Roman" w:cs="Times New Roman"/>
          <w:sz w:val="20"/>
          <w:szCs w:val="20"/>
          <w:lang w:eastAsia="x-none"/>
        </w:rPr>
        <w:t>On new data arrival for the DCCH approach, the following options were proposed:</w:t>
      </w:r>
    </w:p>
    <w:p w14:paraId="15B4B5EE" w14:textId="77777777" w:rsidR="00EA567C" w:rsidRDefault="00786B2D">
      <w:pPr>
        <w:pStyle w:val="a9"/>
        <w:numPr>
          <w:ilvl w:val="0"/>
          <w:numId w:val="17"/>
        </w:numPr>
        <w:spacing w:after="60"/>
        <w:contextualSpacing w:val="0"/>
        <w:jc w:val="both"/>
      </w:pPr>
      <w:r>
        <w:t xml:space="preserve">AS triggers the DCCH indication/request from UE to transition into RRC_CONNECTED when non-SDT data becomes available during the SDT session </w:t>
      </w:r>
      <w:r>
        <w:fldChar w:fldCharType="begin"/>
      </w:r>
      <w:r>
        <w:instrText xml:space="preserve"> REF _Ref74088860 \r \h </w:instrText>
      </w:r>
      <w:r>
        <w:fldChar w:fldCharType="separate"/>
      </w:r>
      <w:r>
        <w:t>[18]</w:t>
      </w:r>
      <w:r>
        <w:fldChar w:fldCharType="end"/>
      </w:r>
      <w:r>
        <w:t xml:space="preserve">. </w:t>
      </w:r>
    </w:p>
    <w:p w14:paraId="15B4B5EF" w14:textId="77777777" w:rsidR="00EA567C" w:rsidRDefault="00786B2D">
      <w:pPr>
        <w:pStyle w:val="a9"/>
        <w:numPr>
          <w:ilvl w:val="0"/>
          <w:numId w:val="17"/>
        </w:numPr>
        <w:spacing w:after="120"/>
        <w:contextualSpacing w:val="0"/>
        <w:jc w:val="both"/>
      </w:pPr>
      <w:r>
        <w:t xml:space="preserve">NAS trigger new DCCH indication/request to AS for UE to move to RRC_CONNECTED state when non-SDT data becomes available during the SDT session </w:t>
      </w:r>
      <w:r>
        <w:fldChar w:fldCharType="begin"/>
      </w:r>
      <w:r>
        <w:instrText xml:space="preserve"> REF _Ref74088860 \r \h </w:instrText>
      </w:r>
      <w:r>
        <w:fldChar w:fldCharType="separate"/>
      </w:r>
      <w:r>
        <w:t>[18]</w:t>
      </w:r>
      <w:r>
        <w:fldChar w:fldCharType="end"/>
      </w:r>
      <w:r>
        <w:t>.</w:t>
      </w:r>
    </w:p>
    <w:p w14:paraId="15B4B5F0" w14:textId="77777777" w:rsidR="00EA567C" w:rsidRDefault="00786B2D">
      <w:pPr>
        <w:pStyle w:val="a9"/>
        <w:numPr>
          <w:ilvl w:val="0"/>
          <w:numId w:val="6"/>
        </w:numPr>
        <w:spacing w:after="120"/>
        <w:ind w:left="360"/>
        <w:contextualSpacing w:val="0"/>
        <w:jc w:val="both"/>
        <w:rPr>
          <w:color w:val="A6A6A6" w:themeColor="background1" w:themeShade="A6"/>
        </w:rPr>
      </w:pPr>
      <w:r>
        <w:rPr>
          <w:color w:val="A6A6A6" w:themeColor="background1" w:themeShade="A6"/>
          <w:lang w:eastAsia="x-none"/>
        </w:rPr>
        <w:t xml:space="preserve">When detecting non-SDT data during ongoing SDT via DCCH-based approach, </w:t>
      </w:r>
      <w:r>
        <w:rPr>
          <w:color w:val="A6A6A6" w:themeColor="background1" w:themeShade="A6"/>
        </w:rPr>
        <w:t>whether AS layer can initiate the indication/request to the network.</w:t>
      </w:r>
    </w:p>
    <w:p w14:paraId="15B4B5F1" w14:textId="77777777" w:rsidR="00EA567C" w:rsidRDefault="00786B2D">
      <w:pPr>
        <w:pStyle w:val="5"/>
        <w:rPr>
          <w:b/>
          <w:bCs/>
          <w:color w:val="0000CC"/>
        </w:rPr>
      </w:pPr>
      <w:r>
        <w:rPr>
          <w:b/>
          <w:bCs/>
          <w:color w:val="0000CC"/>
        </w:rPr>
        <w:fldChar w:fldCharType="begin"/>
      </w:r>
      <w:r>
        <w:rPr>
          <w:b/>
          <w:bCs/>
          <w:color w:val="0000CC"/>
        </w:rPr>
        <w:instrText xml:space="preserve"> REF _Ref75005945 \r \h </w:instrText>
      </w:r>
      <w:r>
        <w:rPr>
          <w:b/>
          <w:bCs/>
          <w:color w:val="0000CC"/>
        </w:rPr>
      </w:r>
      <w:r>
        <w:rPr>
          <w:b/>
          <w:bCs/>
          <w:color w:val="0000CC"/>
        </w:rPr>
        <w:fldChar w:fldCharType="separate"/>
      </w:r>
      <w:r>
        <w:rPr>
          <w:b/>
          <w:bCs/>
          <w:color w:val="0000CC"/>
        </w:rPr>
        <w:t>Q.17)</w:t>
      </w:r>
      <w:r>
        <w:rPr>
          <w:b/>
          <w:bCs/>
          <w:color w:val="0000CC"/>
        </w:rPr>
        <w:fldChar w:fldCharType="end"/>
      </w:r>
      <w:r>
        <w:rPr>
          <w:b/>
          <w:bCs/>
          <w:color w:val="0000CC"/>
          <w:lang w:val="en-US"/>
        </w:rPr>
        <w:t xml:space="preserve"> </w:t>
      </w:r>
      <w:r>
        <w:rPr>
          <w:b/>
          <w:bCs/>
          <w:color w:val="0000CC"/>
        </w:rPr>
        <w:t>for 2</w:t>
      </w:r>
      <w:r>
        <w:rPr>
          <w:b/>
          <w:bCs/>
          <w:color w:val="0000CC"/>
          <w:vertAlign w:val="superscript"/>
        </w:rPr>
        <w:t>nd</w:t>
      </w:r>
      <w:r>
        <w:rPr>
          <w:b/>
          <w:bCs/>
          <w:color w:val="0000CC"/>
        </w:rPr>
        <w:t xml:space="preserve"> Phase</w:t>
      </w:r>
    </w:p>
    <w:p w14:paraId="15B4B5F2"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_Ref75005945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Q.17)</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5F3" w14:textId="77777777" w:rsidR="00EA567C" w:rsidRDefault="00786B2D">
      <w:pPr>
        <w:pStyle w:val="a9"/>
        <w:numPr>
          <w:ilvl w:val="0"/>
          <w:numId w:val="30"/>
        </w:numPr>
        <w:overflowPunct/>
        <w:autoSpaceDE/>
        <w:autoSpaceDN/>
        <w:adjustRightInd/>
        <w:spacing w:after="120" w:line="259" w:lineRule="auto"/>
        <w:contextualSpacing w:val="0"/>
        <w:jc w:val="both"/>
        <w:rPr>
          <w:color w:val="0000CC"/>
        </w:rPr>
      </w:pPr>
      <w:bookmarkStart w:id="116" w:name="_Ref75005945"/>
      <w:r>
        <w:rPr>
          <w:color w:val="0000CC"/>
        </w:rPr>
        <w:t>From RAN2 point of view, when detecting non-SDT data during ongoing SDT via DCCH-based approach, which previous option 9.x or new option is preferable for AS or NAS layer to trigger the DCCH indication/request to the network?</w:t>
      </w:r>
      <w:bookmarkEnd w:id="116"/>
    </w:p>
    <w:tbl>
      <w:tblPr>
        <w:tblStyle w:val="ab"/>
        <w:tblW w:w="0" w:type="auto"/>
        <w:tblLook w:val="04A0" w:firstRow="1" w:lastRow="0" w:firstColumn="1" w:lastColumn="0" w:noHBand="0" w:noVBand="1"/>
      </w:tblPr>
      <w:tblGrid>
        <w:gridCol w:w="1975"/>
        <w:gridCol w:w="1170"/>
        <w:gridCol w:w="6205"/>
      </w:tblGrid>
      <w:tr w:rsidR="00EA567C" w14:paraId="15B4B5F7" w14:textId="77777777">
        <w:tc>
          <w:tcPr>
            <w:tcW w:w="1975" w:type="dxa"/>
            <w:shd w:val="clear" w:color="auto" w:fill="BFBFBF" w:themeFill="background1" w:themeFillShade="BF"/>
          </w:tcPr>
          <w:p w14:paraId="15B4B5F4"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5F5" w14:textId="77777777" w:rsidR="00EA567C" w:rsidRDefault="00786B2D">
            <w:pPr>
              <w:spacing w:after="0"/>
              <w:jc w:val="center"/>
              <w:rPr>
                <w:b/>
                <w:bCs/>
              </w:rPr>
            </w:pPr>
            <w:r>
              <w:rPr>
                <w:b/>
                <w:bCs/>
              </w:rPr>
              <w:t>Option</w:t>
            </w:r>
          </w:p>
        </w:tc>
        <w:tc>
          <w:tcPr>
            <w:tcW w:w="6205" w:type="dxa"/>
            <w:shd w:val="clear" w:color="auto" w:fill="BFBFBF" w:themeFill="background1" w:themeFillShade="BF"/>
          </w:tcPr>
          <w:p w14:paraId="15B4B5F6" w14:textId="77777777" w:rsidR="00EA567C" w:rsidRDefault="00786B2D">
            <w:pPr>
              <w:spacing w:after="0"/>
              <w:jc w:val="center"/>
              <w:rPr>
                <w:b/>
                <w:bCs/>
              </w:rPr>
            </w:pPr>
            <w:r>
              <w:rPr>
                <w:b/>
                <w:bCs/>
              </w:rPr>
              <w:t>Justification</w:t>
            </w:r>
          </w:p>
        </w:tc>
      </w:tr>
      <w:tr w:rsidR="00EA567C" w14:paraId="15B4B5FB" w14:textId="77777777">
        <w:tc>
          <w:tcPr>
            <w:tcW w:w="1975" w:type="dxa"/>
          </w:tcPr>
          <w:p w14:paraId="15B4B5F8" w14:textId="77777777" w:rsidR="00EA567C" w:rsidRDefault="00786B2D">
            <w:pPr>
              <w:spacing w:after="0"/>
            </w:pPr>
            <w:r>
              <w:t>Huawei, HiSilicon</w:t>
            </w:r>
          </w:p>
        </w:tc>
        <w:tc>
          <w:tcPr>
            <w:tcW w:w="1170" w:type="dxa"/>
          </w:tcPr>
          <w:p w14:paraId="15B4B5F9" w14:textId="77777777" w:rsidR="00EA567C" w:rsidRDefault="00786B2D">
            <w:pPr>
              <w:spacing w:after="0"/>
            </w:pPr>
            <w:r>
              <w:t>Depends on CT1 reply</w:t>
            </w:r>
          </w:p>
        </w:tc>
        <w:tc>
          <w:tcPr>
            <w:tcW w:w="6205" w:type="dxa"/>
          </w:tcPr>
          <w:p w14:paraId="15B4B5FA" w14:textId="77777777" w:rsidR="00EA567C" w:rsidRDefault="00786B2D">
            <w:pPr>
              <w:spacing w:after="0"/>
            </w:pPr>
            <w:r>
              <w:t>In our understanding NAS will trigger another request for the UE to move to RRC CONNECTED state and based on this AS will trigger DCCH message transmission. In any case NAS behaviour is not for RAN2 to decide and we have already asked a relevant question to CT1 in R2-2104644.</w:t>
            </w:r>
          </w:p>
        </w:tc>
      </w:tr>
      <w:tr w:rsidR="00EA567C" w14:paraId="15B4B5FF" w14:textId="77777777">
        <w:trPr>
          <w:trHeight w:val="43"/>
        </w:trPr>
        <w:tc>
          <w:tcPr>
            <w:tcW w:w="1975" w:type="dxa"/>
          </w:tcPr>
          <w:p w14:paraId="15B4B5FC" w14:textId="77777777" w:rsidR="00EA567C" w:rsidRDefault="00786B2D">
            <w:pPr>
              <w:spacing w:after="0"/>
            </w:pPr>
            <w:r>
              <w:t>ZTE</w:t>
            </w:r>
          </w:p>
        </w:tc>
        <w:tc>
          <w:tcPr>
            <w:tcW w:w="1170" w:type="dxa"/>
          </w:tcPr>
          <w:p w14:paraId="15B4B5FD" w14:textId="77777777" w:rsidR="00EA567C" w:rsidRDefault="00786B2D">
            <w:pPr>
              <w:spacing w:after="0"/>
            </w:pPr>
            <w:r>
              <w:t>Option 9.b (based on latest CT1 status)</w:t>
            </w:r>
          </w:p>
        </w:tc>
        <w:tc>
          <w:tcPr>
            <w:tcW w:w="6205" w:type="dxa"/>
          </w:tcPr>
          <w:p w14:paraId="15B4B5FE" w14:textId="77777777" w:rsidR="00EA567C" w:rsidRDefault="00786B2D">
            <w:pPr>
              <w:spacing w:after="0"/>
            </w:pPr>
            <w:r>
              <w:t xml:space="preserve">Based on latest status in CT1, our understanding is that NAS will trigger a new request this NAS request should trigger the DCCH message in AS. </w:t>
            </w:r>
          </w:p>
        </w:tc>
      </w:tr>
      <w:tr w:rsidR="00EA567C" w14:paraId="15B4B603" w14:textId="77777777">
        <w:tc>
          <w:tcPr>
            <w:tcW w:w="1975" w:type="dxa"/>
          </w:tcPr>
          <w:p w14:paraId="15B4B600" w14:textId="77777777" w:rsidR="00EA567C" w:rsidRDefault="00786B2D">
            <w:pPr>
              <w:spacing w:after="0"/>
            </w:pPr>
            <w:r>
              <w:t>InterDigital</w:t>
            </w:r>
          </w:p>
        </w:tc>
        <w:tc>
          <w:tcPr>
            <w:tcW w:w="1170" w:type="dxa"/>
          </w:tcPr>
          <w:p w14:paraId="15B4B601" w14:textId="77777777" w:rsidR="00EA567C" w:rsidRDefault="00786B2D">
            <w:pPr>
              <w:spacing w:after="0"/>
            </w:pPr>
            <w:r>
              <w:t>Depends on CT1 reply</w:t>
            </w:r>
          </w:p>
        </w:tc>
        <w:tc>
          <w:tcPr>
            <w:tcW w:w="6205" w:type="dxa"/>
          </w:tcPr>
          <w:p w14:paraId="15B4B602" w14:textId="77777777" w:rsidR="00EA567C" w:rsidRDefault="00786B2D">
            <w:pPr>
              <w:spacing w:after="0"/>
            </w:pPr>
            <w:r>
              <w:t>We share Huawei/HiSilicon’s view.</w:t>
            </w:r>
          </w:p>
        </w:tc>
      </w:tr>
      <w:tr w:rsidR="00EA567C" w14:paraId="15B4B607" w14:textId="77777777">
        <w:tc>
          <w:tcPr>
            <w:tcW w:w="1975" w:type="dxa"/>
          </w:tcPr>
          <w:p w14:paraId="15B4B604" w14:textId="77777777" w:rsidR="00EA567C" w:rsidRDefault="00786B2D">
            <w:pPr>
              <w:spacing w:after="0"/>
            </w:pPr>
            <w:r>
              <w:lastRenderedPageBreak/>
              <w:t>CATT</w:t>
            </w:r>
          </w:p>
        </w:tc>
        <w:tc>
          <w:tcPr>
            <w:tcW w:w="1170" w:type="dxa"/>
          </w:tcPr>
          <w:p w14:paraId="15B4B605" w14:textId="77777777" w:rsidR="00EA567C" w:rsidRDefault="00786B2D">
            <w:pPr>
              <w:spacing w:after="0"/>
            </w:pPr>
            <w:r>
              <w:t>Option 9.a)</w:t>
            </w:r>
          </w:p>
        </w:tc>
        <w:tc>
          <w:tcPr>
            <w:tcW w:w="6205" w:type="dxa"/>
          </w:tcPr>
          <w:p w14:paraId="15B4B606" w14:textId="77777777" w:rsidR="00EA567C" w:rsidRDefault="00786B2D">
            <w:pPr>
              <w:spacing w:after="0"/>
            </w:pPr>
            <w:r>
              <w:t>DCCH message is generated in AS layer, it is AS layer to trigger or initiate the transmission of the DCCH message. But AS layer may trigger the transmission of DCCH message based on request from NAS layer which is depended on CT1 reply.</w:t>
            </w:r>
          </w:p>
        </w:tc>
      </w:tr>
      <w:tr w:rsidR="00EA567C" w14:paraId="15B4B60B" w14:textId="77777777">
        <w:tc>
          <w:tcPr>
            <w:tcW w:w="1975" w:type="dxa"/>
          </w:tcPr>
          <w:p w14:paraId="15B4B608" w14:textId="77777777" w:rsidR="00EA567C" w:rsidRDefault="00786B2D">
            <w:pPr>
              <w:spacing w:after="0"/>
              <w:rPr>
                <w:rFonts w:eastAsiaTheme="minorEastAsia"/>
              </w:rPr>
            </w:pPr>
            <w:r>
              <w:rPr>
                <w:rFonts w:eastAsiaTheme="minorEastAsia" w:hint="eastAsia"/>
              </w:rPr>
              <w:t>Samsung</w:t>
            </w:r>
          </w:p>
        </w:tc>
        <w:tc>
          <w:tcPr>
            <w:tcW w:w="1170" w:type="dxa"/>
          </w:tcPr>
          <w:p w14:paraId="15B4B609" w14:textId="77777777" w:rsidR="00EA567C" w:rsidRDefault="00786B2D">
            <w:pPr>
              <w:spacing w:after="0"/>
            </w:pPr>
            <w:r>
              <w:t>Option 9.a)</w:t>
            </w:r>
          </w:p>
        </w:tc>
        <w:tc>
          <w:tcPr>
            <w:tcW w:w="6205" w:type="dxa"/>
          </w:tcPr>
          <w:p w14:paraId="15B4B60A" w14:textId="77777777" w:rsidR="00EA567C" w:rsidRDefault="00786B2D">
            <w:pPr>
              <w:spacing w:after="0"/>
              <w:rPr>
                <w:rFonts w:eastAsiaTheme="minorEastAsia"/>
              </w:rPr>
            </w:pPr>
            <w:r>
              <w:rPr>
                <w:rFonts w:eastAsiaTheme="minorEastAsia" w:hint="eastAsia"/>
              </w:rPr>
              <w:t>Same view as CATT</w:t>
            </w:r>
          </w:p>
        </w:tc>
      </w:tr>
      <w:tr w:rsidR="00EA567C" w14:paraId="15B4B60F" w14:textId="77777777">
        <w:tc>
          <w:tcPr>
            <w:tcW w:w="1975" w:type="dxa"/>
          </w:tcPr>
          <w:p w14:paraId="15B4B60C" w14:textId="77777777" w:rsidR="00EA567C" w:rsidRDefault="00786B2D">
            <w:pPr>
              <w:spacing w:after="0"/>
              <w:rPr>
                <w:rFonts w:eastAsiaTheme="minorEastAsia"/>
              </w:rPr>
            </w:pPr>
            <w:r>
              <w:rPr>
                <w:rFonts w:eastAsiaTheme="minorEastAsia" w:hint="eastAsia"/>
              </w:rPr>
              <w:t>Fujitsu</w:t>
            </w:r>
          </w:p>
        </w:tc>
        <w:tc>
          <w:tcPr>
            <w:tcW w:w="1170" w:type="dxa"/>
          </w:tcPr>
          <w:p w14:paraId="15B4B60D" w14:textId="77777777" w:rsidR="00EA567C" w:rsidRDefault="00786B2D">
            <w:pPr>
              <w:spacing w:after="0"/>
            </w:pPr>
            <w:r>
              <w:rPr>
                <w:rFonts w:eastAsiaTheme="minorEastAsia" w:hint="eastAsia"/>
              </w:rPr>
              <w:t>Option 9.b</w:t>
            </w:r>
            <w:r>
              <w:rPr>
                <w:rFonts w:eastAsiaTheme="minorEastAsia"/>
              </w:rPr>
              <w:t>)</w:t>
            </w:r>
          </w:p>
        </w:tc>
        <w:tc>
          <w:tcPr>
            <w:tcW w:w="6205" w:type="dxa"/>
          </w:tcPr>
          <w:p w14:paraId="15B4B60E" w14:textId="77777777" w:rsidR="00EA567C" w:rsidRDefault="00786B2D">
            <w:pPr>
              <w:spacing w:after="0"/>
              <w:rPr>
                <w:rFonts w:eastAsiaTheme="minorEastAsia"/>
              </w:rPr>
            </w:pPr>
            <w:r>
              <w:rPr>
                <w:rFonts w:eastAsiaTheme="minorEastAsia" w:hint="eastAsia"/>
              </w:rPr>
              <w:t>We understand that NAS will trigger a new request to AS.</w:t>
            </w:r>
          </w:p>
        </w:tc>
      </w:tr>
      <w:tr w:rsidR="00EA567C" w14:paraId="15B4B613" w14:textId="77777777">
        <w:tc>
          <w:tcPr>
            <w:tcW w:w="1975" w:type="dxa"/>
          </w:tcPr>
          <w:p w14:paraId="15B4B610"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611" w14:textId="77777777" w:rsidR="00EA567C" w:rsidRDefault="00786B2D">
            <w:pPr>
              <w:spacing w:after="0"/>
              <w:rPr>
                <w:rFonts w:eastAsia="Malgun Gothic"/>
                <w:lang w:eastAsia="ko-KR"/>
              </w:rPr>
            </w:pPr>
            <w:r>
              <w:rPr>
                <w:rFonts w:eastAsia="Malgun Gothic" w:hint="eastAsia"/>
                <w:lang w:eastAsia="ko-KR"/>
              </w:rPr>
              <w:t>Check with CT1</w:t>
            </w:r>
          </w:p>
        </w:tc>
        <w:tc>
          <w:tcPr>
            <w:tcW w:w="6205" w:type="dxa"/>
          </w:tcPr>
          <w:p w14:paraId="15B4B612" w14:textId="77777777" w:rsidR="00EA567C" w:rsidRDefault="00786B2D">
            <w:pPr>
              <w:spacing w:after="0"/>
              <w:rPr>
                <w:rFonts w:eastAsia="Malgun Gothic"/>
                <w:lang w:eastAsia="ko-KR"/>
              </w:rPr>
            </w:pPr>
            <w:r>
              <w:rPr>
                <w:rFonts w:eastAsia="Malgun Gothic" w:hint="eastAsia"/>
                <w:lang w:eastAsia="ko-KR"/>
              </w:rPr>
              <w:t>We have to check first with CT1 whether 9.</w:t>
            </w:r>
            <w:r>
              <w:rPr>
                <w:rFonts w:eastAsia="Malgun Gothic"/>
                <w:lang w:eastAsia="ko-KR"/>
              </w:rPr>
              <w:t>b is feasible. If 9.b is not feasible by CT1, RAN2 should work on 9.a.</w:t>
            </w:r>
          </w:p>
        </w:tc>
      </w:tr>
      <w:tr w:rsidR="008F7925" w14:paraId="1AEE7150" w14:textId="77777777">
        <w:tc>
          <w:tcPr>
            <w:tcW w:w="1975" w:type="dxa"/>
          </w:tcPr>
          <w:p w14:paraId="7397002F" w14:textId="0973C289" w:rsidR="008F7925" w:rsidRDefault="008F7925" w:rsidP="008F7925">
            <w:pPr>
              <w:spacing w:after="0"/>
              <w:rPr>
                <w:rFonts w:eastAsia="Malgun Gothic"/>
                <w:lang w:eastAsia="ko-KR"/>
              </w:rPr>
            </w:pPr>
            <w:r>
              <w:t>Intel</w:t>
            </w:r>
          </w:p>
        </w:tc>
        <w:tc>
          <w:tcPr>
            <w:tcW w:w="1170" w:type="dxa"/>
          </w:tcPr>
          <w:p w14:paraId="02EF1193" w14:textId="38FAC595" w:rsidR="008F7925" w:rsidRDefault="008F7925" w:rsidP="008F7925">
            <w:pPr>
              <w:spacing w:after="0"/>
              <w:rPr>
                <w:rFonts w:eastAsia="Malgun Gothic"/>
                <w:lang w:eastAsia="ko-KR"/>
              </w:rPr>
            </w:pPr>
            <w:r>
              <w:t>9.a)</w:t>
            </w:r>
          </w:p>
        </w:tc>
        <w:tc>
          <w:tcPr>
            <w:tcW w:w="6205" w:type="dxa"/>
          </w:tcPr>
          <w:p w14:paraId="2881E9AE" w14:textId="06103CAB" w:rsidR="008F7925" w:rsidRDefault="008F7925" w:rsidP="008F7925">
            <w:pPr>
              <w:spacing w:after="0"/>
              <w:rPr>
                <w:rFonts w:eastAsia="Malgun Gothic"/>
                <w:lang w:eastAsia="ko-KR"/>
              </w:rPr>
            </w:pPr>
            <w:r>
              <w:t>In our understanding, NAS is not aware whether a RB is or not configured for SDT operation although CT1 confirmation of this may be required. Therefore, detecting SDT or non-SDT data could be left up to UE implementation or if any, SDAP may be the optimum layer to handle this. Therefore, we suggest agreeing that AS can handle the trigger from RAN2 point of view and subject to CT1 input/confirmation.</w:t>
            </w:r>
          </w:p>
        </w:tc>
      </w:tr>
      <w:tr w:rsidR="00D56910" w14:paraId="481E0CEB" w14:textId="77777777">
        <w:tc>
          <w:tcPr>
            <w:tcW w:w="1975" w:type="dxa"/>
          </w:tcPr>
          <w:p w14:paraId="658C360A" w14:textId="20D3AB30" w:rsidR="00D56910" w:rsidRDefault="00D56910" w:rsidP="00D56910">
            <w:pPr>
              <w:spacing w:after="0"/>
            </w:pPr>
            <w:r>
              <w:rPr>
                <w:rFonts w:hint="eastAsia"/>
                <w:lang w:eastAsia="zh-CN"/>
              </w:rPr>
              <w:t>N</w:t>
            </w:r>
            <w:r>
              <w:rPr>
                <w:lang w:eastAsia="zh-CN"/>
              </w:rPr>
              <w:t>EC</w:t>
            </w:r>
          </w:p>
        </w:tc>
        <w:tc>
          <w:tcPr>
            <w:tcW w:w="1170" w:type="dxa"/>
          </w:tcPr>
          <w:p w14:paraId="4F020735" w14:textId="735B0137" w:rsidR="00D56910" w:rsidRDefault="00D56910" w:rsidP="00D56910">
            <w:pPr>
              <w:spacing w:after="0"/>
            </w:pPr>
            <w:r w:rsidRPr="00751B59">
              <w:t>Option 9.a)</w:t>
            </w:r>
          </w:p>
        </w:tc>
        <w:tc>
          <w:tcPr>
            <w:tcW w:w="6205" w:type="dxa"/>
          </w:tcPr>
          <w:p w14:paraId="1BDB5379" w14:textId="054A7E57" w:rsidR="00D56910" w:rsidRDefault="00D56910" w:rsidP="00D56910">
            <w:pPr>
              <w:spacing w:after="0"/>
            </w:pPr>
            <w:r>
              <w:rPr>
                <w:rFonts w:hint="eastAsia"/>
                <w:lang w:eastAsia="zh-CN"/>
              </w:rPr>
              <w:t>N</w:t>
            </w:r>
            <w:r>
              <w:rPr>
                <w:lang w:eastAsia="zh-CN"/>
              </w:rPr>
              <w:t>AS layer will indicate connection resume to AS layer, and AS layer trigger the sending of DCCH message.</w:t>
            </w:r>
          </w:p>
        </w:tc>
      </w:tr>
    </w:tbl>
    <w:p w14:paraId="15B4B614" w14:textId="77777777" w:rsidR="00EA567C" w:rsidRDefault="00EA567C">
      <w:pPr>
        <w:rPr>
          <w:rFonts w:ascii="Times New Roman" w:hAnsi="Times New Roman" w:cs="Times New Roman"/>
          <w:sz w:val="20"/>
          <w:szCs w:val="20"/>
        </w:rPr>
      </w:pPr>
    </w:p>
    <w:p w14:paraId="15B4B615" w14:textId="77777777" w:rsidR="00EA567C" w:rsidRDefault="00786B2D">
      <w:pPr>
        <w:pStyle w:val="4"/>
        <w:rPr>
          <w:lang w:val="en-US"/>
        </w:rPr>
      </w:pPr>
      <w:r>
        <w:rPr>
          <w:lang w:val="en-US"/>
        </w:rPr>
        <w:t>[DCCH p</w:t>
      </w:r>
      <w:r>
        <w:t>oint (1</w:t>
      </w:r>
      <w:r>
        <w:rPr>
          <w:lang w:val="en-US"/>
        </w:rPr>
        <w:t>.2</w:t>
      </w:r>
      <w:r>
        <w:t>)</w:t>
      </w:r>
      <w:r>
        <w:rPr>
          <w:lang w:val="en-US"/>
        </w:rPr>
        <w:t>] non-SDT notification to network</w:t>
      </w:r>
    </w:p>
    <w:p w14:paraId="15B4B616" w14:textId="77777777" w:rsidR="00EA567C" w:rsidRDefault="00786B2D">
      <w:pPr>
        <w:spacing w:after="120"/>
        <w:rPr>
          <w:lang w:eastAsia="x-none"/>
        </w:rPr>
      </w:pPr>
      <w:r>
        <w:rPr>
          <w:rFonts w:ascii="Times New Roman" w:hAnsi="Times New Roman" w:cs="Times New Roman"/>
          <w:sz w:val="20"/>
          <w:szCs w:val="20"/>
          <w:lang w:eastAsia="x-none"/>
        </w:rPr>
        <w:t>For DCCH-based approach, how UE sends the indication/request to switch into RRC_CONNECTED when non-SDT becomes available during an ongoing SDT session, the following options were proposed to provide the indication to the network:</w:t>
      </w:r>
    </w:p>
    <w:p w14:paraId="15B4B617" w14:textId="77777777" w:rsidR="00EA567C" w:rsidRDefault="00786B2D">
      <w:pPr>
        <w:pStyle w:val="a9"/>
        <w:numPr>
          <w:ilvl w:val="0"/>
          <w:numId w:val="28"/>
        </w:numPr>
        <w:spacing w:after="60"/>
        <w:contextualSpacing w:val="0"/>
      </w:pPr>
      <w:r>
        <w:t xml:space="preserve">New UL RRC message </w:t>
      </w:r>
      <w:r>
        <w:fldChar w:fldCharType="begin"/>
      </w:r>
      <w:r>
        <w:instrText xml:space="preserve"> REF _Ref74089061 \r \h </w:instrText>
      </w:r>
      <w:r>
        <w:fldChar w:fldCharType="separate"/>
      </w:r>
      <w:r>
        <w:t>[3]</w:t>
      </w:r>
      <w:r>
        <w:fldChar w:fldCharType="end"/>
      </w:r>
      <w:r>
        <w:t>.</w:t>
      </w:r>
    </w:p>
    <w:p w14:paraId="15B4B618" w14:textId="77777777" w:rsidR="00EA567C" w:rsidRDefault="00786B2D">
      <w:pPr>
        <w:pStyle w:val="a9"/>
        <w:numPr>
          <w:ilvl w:val="0"/>
          <w:numId w:val="28"/>
        </w:numPr>
        <w:spacing w:after="120"/>
        <w:contextualSpacing w:val="0"/>
      </w:pPr>
      <w:r>
        <w:t xml:space="preserve">Re-using legacy UL RRC message e.g. </w:t>
      </w:r>
      <w:r>
        <w:rPr>
          <w:i/>
          <w:iCs/>
        </w:rPr>
        <w:t>UEAssistanceInformation</w:t>
      </w:r>
      <w:r>
        <w:t xml:space="preserve"> message </w:t>
      </w:r>
      <w:r>
        <w:fldChar w:fldCharType="begin"/>
      </w:r>
      <w:r>
        <w:instrText xml:space="preserve"> REF _Ref74089061 \r \h </w:instrText>
      </w:r>
      <w:r>
        <w:fldChar w:fldCharType="separate"/>
      </w:r>
      <w:r>
        <w:t>[3]</w:t>
      </w:r>
      <w:r>
        <w:fldChar w:fldCharType="end"/>
      </w:r>
      <w:r>
        <w:t>.</w:t>
      </w:r>
    </w:p>
    <w:p w14:paraId="15B4B619" w14:textId="77777777" w:rsidR="00EA567C" w:rsidRDefault="00786B2D">
      <w:pPr>
        <w:pStyle w:val="a9"/>
        <w:numPr>
          <w:ilvl w:val="0"/>
          <w:numId w:val="6"/>
        </w:numPr>
        <w:spacing w:after="120"/>
        <w:ind w:left="360"/>
        <w:contextualSpacing w:val="0"/>
        <w:jc w:val="both"/>
        <w:rPr>
          <w:color w:val="A6A6A6" w:themeColor="background1" w:themeShade="A6"/>
        </w:rPr>
      </w:pPr>
      <w:bookmarkStart w:id="117" w:name="_Hlk75009674"/>
      <w:r>
        <w:rPr>
          <w:color w:val="A6A6A6" w:themeColor="background1" w:themeShade="A6"/>
          <w:lang w:eastAsia="x-none"/>
        </w:rPr>
        <w:t>For DCCH-based approach,</w:t>
      </w:r>
      <w:r>
        <w:rPr>
          <w:color w:val="A6A6A6" w:themeColor="background1" w:themeShade="A6"/>
        </w:rPr>
        <w:t xml:space="preserve"> how </w:t>
      </w:r>
      <w:r>
        <w:rPr>
          <w:color w:val="A6A6A6" w:themeColor="background1" w:themeShade="A6"/>
          <w:lang w:eastAsia="x-none"/>
        </w:rPr>
        <w:t xml:space="preserve">UE sends the </w:t>
      </w:r>
      <w:r>
        <w:rPr>
          <w:color w:val="A6A6A6" w:themeColor="background1" w:themeShade="A6"/>
        </w:rPr>
        <w:t>indication/request to switch into RRC_CONNECTED when non-SDT becomes available during an ongoing SDT session</w:t>
      </w:r>
      <w:bookmarkEnd w:id="117"/>
      <w:r>
        <w:rPr>
          <w:color w:val="A6A6A6" w:themeColor="background1" w:themeShade="A6"/>
          <w:lang w:eastAsia="x-none"/>
        </w:rPr>
        <w:t>.</w:t>
      </w:r>
    </w:p>
    <w:p w14:paraId="15B4B61A" w14:textId="77777777" w:rsidR="00EA567C" w:rsidRDefault="00786B2D">
      <w:pPr>
        <w:pStyle w:val="5"/>
        <w:rPr>
          <w:b/>
          <w:bCs/>
          <w:color w:val="0000CC"/>
        </w:rPr>
      </w:pPr>
      <w:r>
        <w:rPr>
          <w:b/>
          <w:bCs/>
          <w:color w:val="0000CC"/>
          <w:lang w:val="en-US"/>
        </w:rPr>
        <w:fldChar w:fldCharType="begin"/>
      </w:r>
      <w:r>
        <w:rPr>
          <w:b/>
          <w:bCs/>
          <w:color w:val="0000CC"/>
          <w:lang w:val="en-US"/>
        </w:rPr>
        <w:instrText xml:space="preserve"> REF _Ref75006015 \r \h </w:instrText>
      </w:r>
      <w:r>
        <w:rPr>
          <w:b/>
          <w:bCs/>
          <w:color w:val="0000CC"/>
          <w:lang w:val="en-US"/>
        </w:rPr>
      </w:r>
      <w:r>
        <w:rPr>
          <w:b/>
          <w:bCs/>
          <w:color w:val="0000CC"/>
          <w:lang w:val="en-US"/>
        </w:rPr>
        <w:fldChar w:fldCharType="separate"/>
      </w:r>
      <w:r>
        <w:rPr>
          <w:b/>
          <w:bCs/>
          <w:color w:val="0000CC"/>
          <w:lang w:val="en-US"/>
        </w:rPr>
        <w:t>Q.18)</w:t>
      </w:r>
      <w:r>
        <w:rPr>
          <w:b/>
          <w:bCs/>
          <w:color w:val="0000CC"/>
          <w:lang w:val="en-US"/>
        </w:rPr>
        <w:fldChar w:fldCharType="end"/>
      </w:r>
      <w:r>
        <w:rPr>
          <w:b/>
          <w:bCs/>
          <w:color w:val="0000CC"/>
          <w:lang w:val="en-US"/>
        </w:rPr>
        <w:t xml:space="preserve"> </w:t>
      </w:r>
      <w:r>
        <w:rPr>
          <w:b/>
          <w:bCs/>
          <w:color w:val="0000CC"/>
        </w:rPr>
        <w:t>for 2</w:t>
      </w:r>
      <w:r>
        <w:rPr>
          <w:b/>
          <w:bCs/>
          <w:color w:val="0000CC"/>
          <w:vertAlign w:val="superscript"/>
        </w:rPr>
        <w:t>nd</w:t>
      </w:r>
      <w:r>
        <w:rPr>
          <w:b/>
          <w:bCs/>
          <w:color w:val="0000CC"/>
        </w:rPr>
        <w:t xml:space="preserve"> Phase</w:t>
      </w:r>
    </w:p>
    <w:p w14:paraId="15B4B61B"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_Ref75006015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Q.18)</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61C" w14:textId="77777777" w:rsidR="00EA567C" w:rsidRDefault="00786B2D">
      <w:pPr>
        <w:pStyle w:val="a9"/>
        <w:numPr>
          <w:ilvl w:val="0"/>
          <w:numId w:val="30"/>
        </w:numPr>
        <w:overflowPunct/>
        <w:autoSpaceDE/>
        <w:autoSpaceDN/>
        <w:adjustRightInd/>
        <w:spacing w:after="120" w:line="259" w:lineRule="auto"/>
        <w:contextualSpacing w:val="0"/>
        <w:jc w:val="both"/>
        <w:rPr>
          <w:color w:val="0000CC"/>
        </w:rPr>
      </w:pPr>
      <w:bookmarkStart w:id="118" w:name="_Ref75006015"/>
      <w:r>
        <w:rPr>
          <w:color w:val="0000CC"/>
        </w:rPr>
        <w:t>For DCCH-based approach, which previous option 10.x or new option is preferable for UE to send the indication/request to switch into CONNECTED when non-SDT becomes available during an ongoing SDT session?</w:t>
      </w:r>
      <w:bookmarkEnd w:id="118"/>
    </w:p>
    <w:tbl>
      <w:tblPr>
        <w:tblStyle w:val="ab"/>
        <w:tblW w:w="0" w:type="auto"/>
        <w:tblLook w:val="04A0" w:firstRow="1" w:lastRow="0" w:firstColumn="1" w:lastColumn="0" w:noHBand="0" w:noVBand="1"/>
      </w:tblPr>
      <w:tblGrid>
        <w:gridCol w:w="1975"/>
        <w:gridCol w:w="1170"/>
        <w:gridCol w:w="6205"/>
      </w:tblGrid>
      <w:tr w:rsidR="00EA567C" w14:paraId="15B4B620" w14:textId="77777777">
        <w:tc>
          <w:tcPr>
            <w:tcW w:w="1975" w:type="dxa"/>
            <w:shd w:val="clear" w:color="auto" w:fill="BFBFBF" w:themeFill="background1" w:themeFillShade="BF"/>
          </w:tcPr>
          <w:p w14:paraId="15B4B61D"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61E" w14:textId="77777777" w:rsidR="00EA567C" w:rsidRDefault="00786B2D">
            <w:pPr>
              <w:spacing w:after="0"/>
              <w:jc w:val="center"/>
              <w:rPr>
                <w:b/>
                <w:bCs/>
              </w:rPr>
            </w:pPr>
            <w:r>
              <w:rPr>
                <w:b/>
                <w:bCs/>
              </w:rPr>
              <w:t>Option</w:t>
            </w:r>
          </w:p>
        </w:tc>
        <w:tc>
          <w:tcPr>
            <w:tcW w:w="6205" w:type="dxa"/>
            <w:shd w:val="clear" w:color="auto" w:fill="BFBFBF" w:themeFill="background1" w:themeFillShade="BF"/>
          </w:tcPr>
          <w:p w14:paraId="15B4B61F" w14:textId="77777777" w:rsidR="00EA567C" w:rsidRDefault="00786B2D">
            <w:pPr>
              <w:spacing w:after="0"/>
              <w:jc w:val="center"/>
              <w:rPr>
                <w:b/>
                <w:bCs/>
              </w:rPr>
            </w:pPr>
            <w:r>
              <w:rPr>
                <w:b/>
                <w:bCs/>
              </w:rPr>
              <w:t>Justification</w:t>
            </w:r>
          </w:p>
        </w:tc>
      </w:tr>
      <w:tr w:rsidR="00EA567C" w14:paraId="15B4B624" w14:textId="77777777">
        <w:tc>
          <w:tcPr>
            <w:tcW w:w="1975" w:type="dxa"/>
          </w:tcPr>
          <w:p w14:paraId="15B4B621" w14:textId="77777777" w:rsidR="00EA567C" w:rsidRDefault="00786B2D">
            <w:pPr>
              <w:spacing w:after="0"/>
            </w:pPr>
            <w:r>
              <w:t>Huawei, HiSilicon</w:t>
            </w:r>
          </w:p>
        </w:tc>
        <w:tc>
          <w:tcPr>
            <w:tcW w:w="1170" w:type="dxa"/>
          </w:tcPr>
          <w:p w14:paraId="15B4B622" w14:textId="77777777" w:rsidR="00EA567C" w:rsidRDefault="00786B2D">
            <w:pPr>
              <w:spacing w:after="0"/>
            </w:pPr>
            <w:r>
              <w:t>Option 10.b)</w:t>
            </w:r>
          </w:p>
        </w:tc>
        <w:tc>
          <w:tcPr>
            <w:tcW w:w="6205" w:type="dxa"/>
          </w:tcPr>
          <w:p w14:paraId="15B4B623" w14:textId="77777777" w:rsidR="00EA567C" w:rsidRDefault="00786B2D">
            <w:pPr>
              <w:spacing w:after="0"/>
            </w:pPr>
            <w:r>
              <w:t>In case we proceed with this approach, we prefer to reuse an existing message and UEAssistanceInformation would fit the purpose well in our opinion.</w:t>
            </w:r>
          </w:p>
        </w:tc>
      </w:tr>
      <w:tr w:rsidR="00EA567C" w14:paraId="15B4B628" w14:textId="77777777">
        <w:trPr>
          <w:trHeight w:val="43"/>
        </w:trPr>
        <w:tc>
          <w:tcPr>
            <w:tcW w:w="1975" w:type="dxa"/>
          </w:tcPr>
          <w:p w14:paraId="15B4B625" w14:textId="77777777" w:rsidR="00EA567C" w:rsidRDefault="00786B2D">
            <w:pPr>
              <w:spacing w:after="0"/>
            </w:pPr>
            <w:r>
              <w:t>ZTE</w:t>
            </w:r>
          </w:p>
        </w:tc>
        <w:tc>
          <w:tcPr>
            <w:tcW w:w="1170" w:type="dxa"/>
          </w:tcPr>
          <w:p w14:paraId="15B4B626" w14:textId="77777777" w:rsidR="00EA567C" w:rsidRDefault="00786B2D">
            <w:pPr>
              <w:spacing w:after="0"/>
            </w:pPr>
            <w:r>
              <w:t>no strong view</w:t>
            </w:r>
          </w:p>
        </w:tc>
        <w:tc>
          <w:tcPr>
            <w:tcW w:w="6205" w:type="dxa"/>
          </w:tcPr>
          <w:p w14:paraId="15B4B627" w14:textId="77777777" w:rsidR="00EA567C" w:rsidRDefault="00786B2D">
            <w:pPr>
              <w:spacing w:after="0"/>
            </w:pPr>
            <w:r>
              <w:t xml:space="preserve">We are fine with either. However, if NAS triggers the new request, it seems we can define a new message too (including the contents from NAS). </w:t>
            </w:r>
          </w:p>
        </w:tc>
      </w:tr>
      <w:tr w:rsidR="00EA567C" w14:paraId="15B4B62C" w14:textId="77777777">
        <w:trPr>
          <w:trHeight w:val="43"/>
        </w:trPr>
        <w:tc>
          <w:tcPr>
            <w:tcW w:w="1975" w:type="dxa"/>
          </w:tcPr>
          <w:p w14:paraId="15B4B629" w14:textId="77777777" w:rsidR="00EA567C" w:rsidRDefault="00786B2D">
            <w:pPr>
              <w:spacing w:after="0"/>
            </w:pPr>
            <w:r>
              <w:t>InterDigital</w:t>
            </w:r>
          </w:p>
        </w:tc>
        <w:tc>
          <w:tcPr>
            <w:tcW w:w="1170" w:type="dxa"/>
          </w:tcPr>
          <w:p w14:paraId="15B4B62A" w14:textId="77777777" w:rsidR="00EA567C" w:rsidRDefault="00786B2D">
            <w:pPr>
              <w:spacing w:after="0"/>
            </w:pPr>
            <w:r>
              <w:t>10.b)</w:t>
            </w:r>
          </w:p>
        </w:tc>
        <w:tc>
          <w:tcPr>
            <w:tcW w:w="6205" w:type="dxa"/>
          </w:tcPr>
          <w:p w14:paraId="15B4B62B" w14:textId="77777777" w:rsidR="00EA567C" w:rsidRDefault="00786B2D">
            <w:pPr>
              <w:spacing w:after="0"/>
            </w:pPr>
            <w:r>
              <w:t>The existing message plus a new IE, which tells gNB that UE requests the switch from SDT to non-SDT.</w:t>
            </w:r>
          </w:p>
        </w:tc>
      </w:tr>
      <w:tr w:rsidR="00EA567C" w14:paraId="15B4B630" w14:textId="77777777">
        <w:tc>
          <w:tcPr>
            <w:tcW w:w="1975" w:type="dxa"/>
          </w:tcPr>
          <w:p w14:paraId="15B4B62D" w14:textId="77777777" w:rsidR="00EA567C" w:rsidRDefault="00786B2D">
            <w:pPr>
              <w:spacing w:after="0"/>
            </w:pPr>
            <w:r>
              <w:t>CATT</w:t>
            </w:r>
          </w:p>
        </w:tc>
        <w:tc>
          <w:tcPr>
            <w:tcW w:w="1170" w:type="dxa"/>
          </w:tcPr>
          <w:p w14:paraId="15B4B62E" w14:textId="77777777" w:rsidR="00EA567C" w:rsidRDefault="00786B2D">
            <w:pPr>
              <w:spacing w:after="0"/>
            </w:pPr>
            <w:r>
              <w:t>10.a)</w:t>
            </w:r>
          </w:p>
        </w:tc>
        <w:tc>
          <w:tcPr>
            <w:tcW w:w="6205" w:type="dxa"/>
          </w:tcPr>
          <w:p w14:paraId="15B4B62F" w14:textId="77777777" w:rsidR="00EA567C" w:rsidRDefault="00786B2D">
            <w:pPr>
              <w:spacing w:after="0"/>
            </w:pPr>
            <w:r>
              <w:t>We can decide the preferred options after the content for the indication/request when non-SDT becomes available is concluded. From our point of view, the content for the indication/request when non-SDT becomes available is different from the existing UEAssistanceInformation message. Therefore, it is good to define a new UL RRC message.</w:t>
            </w:r>
          </w:p>
        </w:tc>
      </w:tr>
      <w:tr w:rsidR="00EA567C" w14:paraId="15B4B634" w14:textId="77777777">
        <w:tc>
          <w:tcPr>
            <w:tcW w:w="1975" w:type="dxa"/>
          </w:tcPr>
          <w:p w14:paraId="15B4B631" w14:textId="77777777" w:rsidR="00EA567C" w:rsidRDefault="00786B2D">
            <w:pPr>
              <w:spacing w:after="0"/>
              <w:rPr>
                <w:rFonts w:eastAsiaTheme="minorEastAsia"/>
              </w:rPr>
            </w:pPr>
            <w:r>
              <w:rPr>
                <w:rFonts w:eastAsiaTheme="minorEastAsia"/>
              </w:rPr>
              <w:t>Samsung</w:t>
            </w:r>
          </w:p>
        </w:tc>
        <w:tc>
          <w:tcPr>
            <w:tcW w:w="1170" w:type="dxa"/>
          </w:tcPr>
          <w:p w14:paraId="15B4B632" w14:textId="77777777" w:rsidR="00EA567C" w:rsidRDefault="00786B2D">
            <w:pPr>
              <w:spacing w:after="0"/>
              <w:rPr>
                <w:rFonts w:eastAsiaTheme="minorEastAsia"/>
              </w:rPr>
            </w:pPr>
            <w:r>
              <w:rPr>
                <w:rFonts w:eastAsiaTheme="minorEastAsia" w:hint="eastAsia"/>
              </w:rPr>
              <w:t>10.a</w:t>
            </w:r>
          </w:p>
        </w:tc>
        <w:tc>
          <w:tcPr>
            <w:tcW w:w="6205" w:type="dxa"/>
          </w:tcPr>
          <w:p w14:paraId="15B4B633" w14:textId="77777777" w:rsidR="00EA567C" w:rsidRDefault="00786B2D">
            <w:pPr>
              <w:spacing w:after="0"/>
            </w:pPr>
            <w:r>
              <w:rPr>
                <w:rFonts w:eastAsiaTheme="minorEastAsia"/>
              </w:rPr>
              <w:t>Slightly</w:t>
            </w:r>
            <w:r>
              <w:rPr>
                <w:rFonts w:eastAsiaTheme="minorEastAsia" w:hint="eastAsia"/>
              </w:rPr>
              <w:t xml:space="preserve"> </w:t>
            </w:r>
            <w:r>
              <w:rPr>
                <w:rFonts w:eastAsiaTheme="minorEastAsia"/>
              </w:rPr>
              <w:t>prefer new message</w:t>
            </w:r>
          </w:p>
        </w:tc>
      </w:tr>
      <w:tr w:rsidR="00EA567C" w14:paraId="15B4B639" w14:textId="77777777">
        <w:tc>
          <w:tcPr>
            <w:tcW w:w="1975" w:type="dxa"/>
          </w:tcPr>
          <w:p w14:paraId="15B4B635" w14:textId="77777777" w:rsidR="00EA567C" w:rsidRDefault="00786B2D">
            <w:pPr>
              <w:spacing w:after="0"/>
              <w:rPr>
                <w:rFonts w:eastAsiaTheme="minorEastAsia"/>
              </w:rPr>
            </w:pPr>
            <w:r>
              <w:rPr>
                <w:rFonts w:eastAsiaTheme="minorEastAsia"/>
              </w:rPr>
              <w:t>Fujitsu</w:t>
            </w:r>
          </w:p>
        </w:tc>
        <w:tc>
          <w:tcPr>
            <w:tcW w:w="1170" w:type="dxa"/>
          </w:tcPr>
          <w:p w14:paraId="15B4B636" w14:textId="77777777" w:rsidR="00EA567C" w:rsidRDefault="00786B2D">
            <w:pPr>
              <w:spacing w:after="0"/>
              <w:rPr>
                <w:rFonts w:eastAsiaTheme="minorEastAsia"/>
              </w:rPr>
            </w:pPr>
            <w:r>
              <w:rPr>
                <w:rFonts w:eastAsiaTheme="minorEastAsia" w:hint="eastAsia"/>
              </w:rPr>
              <w:t>TBD</w:t>
            </w:r>
          </w:p>
        </w:tc>
        <w:tc>
          <w:tcPr>
            <w:tcW w:w="6205" w:type="dxa"/>
          </w:tcPr>
          <w:p w14:paraId="15B4B637" w14:textId="77777777" w:rsidR="00EA567C" w:rsidRDefault="00786B2D">
            <w:pPr>
              <w:spacing w:after="0"/>
              <w:rPr>
                <w:rFonts w:eastAsiaTheme="minorEastAsia"/>
              </w:rPr>
            </w:pPr>
            <w:r>
              <w:rPr>
                <w:rFonts w:eastAsiaTheme="minorEastAsia"/>
              </w:rPr>
              <w:t xml:space="preserve">Firstly, </w:t>
            </w:r>
            <w:r>
              <w:rPr>
                <w:rFonts w:eastAsiaTheme="minorEastAsia" w:hint="eastAsia"/>
              </w:rPr>
              <w:t>we would clarify what contents would be sent to the gNB</w:t>
            </w:r>
            <w:r>
              <w:rPr>
                <w:rFonts w:eastAsiaTheme="minorEastAsia"/>
              </w:rPr>
              <w:t>.</w:t>
            </w:r>
          </w:p>
          <w:p w14:paraId="15B4B638" w14:textId="77777777" w:rsidR="00EA567C" w:rsidRDefault="00786B2D">
            <w:pPr>
              <w:spacing w:after="0"/>
              <w:rPr>
                <w:rFonts w:eastAsiaTheme="minorEastAsia"/>
              </w:rPr>
            </w:pPr>
            <w:r>
              <w:rPr>
                <w:rFonts w:eastAsiaTheme="minorEastAsia"/>
              </w:rPr>
              <w:lastRenderedPageBreak/>
              <w:t>It is proposed in [3] that the contents can be list of one or more RB IDs for which data is arrived or data volume per RB or cumulative. After the content is decided, we can discuss signalling design e.g. UEAssistanceInformation or new RRC message.</w:t>
            </w:r>
          </w:p>
        </w:tc>
      </w:tr>
      <w:tr w:rsidR="00EA567C" w14:paraId="15B4B63D" w14:textId="77777777">
        <w:tc>
          <w:tcPr>
            <w:tcW w:w="1975" w:type="dxa"/>
          </w:tcPr>
          <w:p w14:paraId="15B4B63A" w14:textId="77777777" w:rsidR="00EA567C" w:rsidRDefault="00786B2D">
            <w:pPr>
              <w:spacing w:after="0"/>
            </w:pPr>
            <w:r>
              <w:rPr>
                <w:rFonts w:hint="eastAsia"/>
              </w:rPr>
              <w:lastRenderedPageBreak/>
              <w:t>LG</w:t>
            </w:r>
          </w:p>
        </w:tc>
        <w:tc>
          <w:tcPr>
            <w:tcW w:w="1170" w:type="dxa"/>
          </w:tcPr>
          <w:p w14:paraId="15B4B63B" w14:textId="77777777" w:rsidR="00EA567C" w:rsidRDefault="00786B2D">
            <w:pPr>
              <w:spacing w:after="0"/>
              <w:rPr>
                <w:rFonts w:eastAsia="Malgun Gothic"/>
                <w:lang w:eastAsia="ko-KR"/>
              </w:rPr>
            </w:pPr>
            <w:r>
              <w:rPr>
                <w:rFonts w:eastAsia="Malgun Gothic" w:hint="eastAsia"/>
                <w:lang w:eastAsia="ko-KR"/>
              </w:rPr>
              <w:t>10.a</w:t>
            </w:r>
          </w:p>
        </w:tc>
        <w:tc>
          <w:tcPr>
            <w:tcW w:w="6205" w:type="dxa"/>
          </w:tcPr>
          <w:p w14:paraId="15B4B63C" w14:textId="77777777" w:rsidR="00EA567C" w:rsidRDefault="00786B2D">
            <w:pPr>
              <w:spacing w:after="0"/>
              <w:rPr>
                <w:rFonts w:eastAsia="Malgun Gothic"/>
                <w:lang w:eastAsia="ko-KR"/>
              </w:rPr>
            </w:pPr>
            <w:r>
              <w:rPr>
                <w:rFonts w:eastAsia="Malgun Gothic" w:hint="eastAsia"/>
                <w:lang w:eastAsia="ko-KR"/>
              </w:rPr>
              <w:t>We think using a new UL RRC message would be simple and clear.</w:t>
            </w:r>
          </w:p>
        </w:tc>
      </w:tr>
      <w:tr w:rsidR="00EF1350" w14:paraId="7594F205" w14:textId="77777777">
        <w:tc>
          <w:tcPr>
            <w:tcW w:w="1975" w:type="dxa"/>
          </w:tcPr>
          <w:p w14:paraId="764B00E3" w14:textId="6367BFD4" w:rsidR="00EF1350" w:rsidRDefault="00EF1350" w:rsidP="00EF1350">
            <w:pPr>
              <w:spacing w:after="0"/>
            </w:pPr>
            <w:r>
              <w:t>Intel</w:t>
            </w:r>
          </w:p>
        </w:tc>
        <w:tc>
          <w:tcPr>
            <w:tcW w:w="1170" w:type="dxa"/>
          </w:tcPr>
          <w:p w14:paraId="366DE93F" w14:textId="1E37168A" w:rsidR="00EF1350" w:rsidRDefault="00EF1350" w:rsidP="00EF1350">
            <w:pPr>
              <w:spacing w:after="0"/>
              <w:rPr>
                <w:rFonts w:eastAsia="Malgun Gothic"/>
                <w:lang w:eastAsia="ko-KR"/>
              </w:rPr>
            </w:pPr>
            <w:r>
              <w:t>10.a)</w:t>
            </w:r>
          </w:p>
        </w:tc>
        <w:tc>
          <w:tcPr>
            <w:tcW w:w="6205" w:type="dxa"/>
          </w:tcPr>
          <w:p w14:paraId="3199D534" w14:textId="42685C89" w:rsidR="00EF1350" w:rsidRDefault="00EF1350" w:rsidP="00EF1350">
            <w:pPr>
              <w:spacing w:after="0"/>
              <w:rPr>
                <w:rFonts w:eastAsia="Malgun Gothic"/>
                <w:lang w:eastAsia="ko-KR"/>
              </w:rPr>
            </w:pPr>
            <w:r>
              <w:t xml:space="preserve">Both options are possible. We prefer not to re-use </w:t>
            </w:r>
            <w:r>
              <w:rPr>
                <w:i/>
                <w:iCs/>
              </w:rPr>
              <w:t>UEAssistanceInformation</w:t>
            </w:r>
            <w:r>
              <w:t xml:space="preserve"> msg as to avoid complexity associated with other UE assistance information that may be configured for that UE while in RRC_CONNECTED and would not be applicable while UE is in SDT.</w:t>
            </w:r>
          </w:p>
        </w:tc>
      </w:tr>
      <w:tr w:rsidR="00D56910" w14:paraId="654A2164" w14:textId="77777777">
        <w:tc>
          <w:tcPr>
            <w:tcW w:w="1975" w:type="dxa"/>
          </w:tcPr>
          <w:p w14:paraId="64006546" w14:textId="4C14DAA7" w:rsidR="00D56910" w:rsidRDefault="00D56910" w:rsidP="00D56910">
            <w:pPr>
              <w:spacing w:after="0"/>
            </w:pPr>
            <w:r>
              <w:rPr>
                <w:rFonts w:hint="eastAsia"/>
                <w:lang w:eastAsia="zh-CN"/>
              </w:rPr>
              <w:t>N</w:t>
            </w:r>
            <w:r>
              <w:rPr>
                <w:lang w:eastAsia="zh-CN"/>
              </w:rPr>
              <w:t>EC</w:t>
            </w:r>
          </w:p>
        </w:tc>
        <w:tc>
          <w:tcPr>
            <w:tcW w:w="1170" w:type="dxa"/>
          </w:tcPr>
          <w:p w14:paraId="7E3A1527" w14:textId="5715155A" w:rsidR="00D56910" w:rsidRDefault="00D56910" w:rsidP="00D56910">
            <w:pPr>
              <w:spacing w:after="0"/>
            </w:pPr>
            <w:r>
              <w:t>10.b)</w:t>
            </w:r>
          </w:p>
        </w:tc>
        <w:tc>
          <w:tcPr>
            <w:tcW w:w="6205" w:type="dxa"/>
          </w:tcPr>
          <w:p w14:paraId="154A7A7F" w14:textId="5EE111FC" w:rsidR="00D56910" w:rsidRDefault="00D56910" w:rsidP="00D56910">
            <w:pPr>
              <w:spacing w:after="0"/>
            </w:pPr>
            <w:r>
              <w:rPr>
                <w:lang w:eastAsia="zh-CN"/>
              </w:rPr>
              <w:t>We prefer reusing the existing message with new IE.</w:t>
            </w:r>
          </w:p>
        </w:tc>
      </w:tr>
    </w:tbl>
    <w:p w14:paraId="15B4B63E" w14:textId="77777777" w:rsidR="00EA567C" w:rsidRDefault="00EA567C">
      <w:pPr>
        <w:spacing w:after="120"/>
        <w:rPr>
          <w:rFonts w:ascii="Times New Roman" w:hAnsi="Times New Roman" w:cs="Times New Roman"/>
          <w:sz w:val="20"/>
          <w:szCs w:val="20"/>
          <w:lang w:eastAsia="x-none"/>
        </w:rPr>
      </w:pPr>
    </w:p>
    <w:p w14:paraId="15B4B63F" w14:textId="77777777" w:rsidR="00EA567C" w:rsidRDefault="00786B2D">
      <w:pPr>
        <w:spacing w:after="120"/>
        <w:rPr>
          <w:lang w:eastAsia="x-none"/>
        </w:rPr>
      </w:pPr>
      <w:r>
        <w:rPr>
          <w:rFonts w:ascii="Times New Roman" w:hAnsi="Times New Roman" w:cs="Times New Roman"/>
          <w:sz w:val="20"/>
          <w:szCs w:val="20"/>
          <w:lang w:eastAsia="x-none"/>
        </w:rPr>
        <w:t>Additionally, it was also proposed to provide the following information to the network in the indication:</w:t>
      </w:r>
    </w:p>
    <w:p w14:paraId="15B4B640" w14:textId="77777777" w:rsidR="00EA567C" w:rsidRDefault="00786B2D">
      <w:pPr>
        <w:pStyle w:val="a9"/>
        <w:numPr>
          <w:ilvl w:val="0"/>
          <w:numId w:val="18"/>
        </w:numPr>
        <w:spacing w:after="60"/>
        <w:contextualSpacing w:val="0"/>
      </w:pPr>
      <w:r>
        <w:t xml:space="preserve">List of one or more RB IDs for which data is arrived </w:t>
      </w:r>
      <w:r>
        <w:fldChar w:fldCharType="begin"/>
      </w:r>
      <w:r>
        <w:instrText xml:space="preserve"> REF _Ref74089061 \r \h </w:instrText>
      </w:r>
      <w:r>
        <w:fldChar w:fldCharType="separate"/>
      </w:r>
      <w:r>
        <w:t>[3]</w:t>
      </w:r>
      <w:r>
        <w:fldChar w:fldCharType="end"/>
      </w:r>
      <w:r>
        <w:t>.</w:t>
      </w:r>
    </w:p>
    <w:p w14:paraId="15B4B641" w14:textId="77777777" w:rsidR="00EA567C" w:rsidRDefault="00786B2D">
      <w:pPr>
        <w:pStyle w:val="a9"/>
        <w:numPr>
          <w:ilvl w:val="0"/>
          <w:numId w:val="18"/>
        </w:numPr>
        <w:spacing w:after="120"/>
        <w:contextualSpacing w:val="0"/>
      </w:pPr>
      <w:r>
        <w:t xml:space="preserve">Data volume per RB or cumulative can also be indicated </w:t>
      </w:r>
      <w:r>
        <w:fldChar w:fldCharType="begin"/>
      </w:r>
      <w:r>
        <w:instrText xml:space="preserve"> REF _Ref74089061 \r \h </w:instrText>
      </w:r>
      <w:r>
        <w:fldChar w:fldCharType="separate"/>
      </w:r>
      <w:r>
        <w:t>[3]</w:t>
      </w:r>
      <w:r>
        <w:fldChar w:fldCharType="end"/>
      </w:r>
      <w:r>
        <w:t>.</w:t>
      </w:r>
    </w:p>
    <w:p w14:paraId="15B4B642" w14:textId="77777777" w:rsidR="00EA567C" w:rsidRDefault="00786B2D">
      <w:pPr>
        <w:pStyle w:val="a9"/>
        <w:numPr>
          <w:ilvl w:val="0"/>
          <w:numId w:val="18"/>
        </w:numPr>
        <w:spacing w:after="120"/>
        <w:contextualSpacing w:val="0"/>
        <w:rPr>
          <w:color w:val="0000CC"/>
        </w:rPr>
      </w:pPr>
      <w:r>
        <w:rPr>
          <w:color w:val="0000CC"/>
        </w:rPr>
        <w:t>Resume cause.</w:t>
      </w:r>
    </w:p>
    <w:p w14:paraId="15B4B643" w14:textId="77777777" w:rsidR="00EA567C" w:rsidRDefault="00786B2D">
      <w:pPr>
        <w:pStyle w:val="a9"/>
        <w:numPr>
          <w:ilvl w:val="0"/>
          <w:numId w:val="6"/>
        </w:numPr>
        <w:spacing w:after="120"/>
        <w:ind w:left="360"/>
        <w:contextualSpacing w:val="0"/>
        <w:jc w:val="both"/>
        <w:rPr>
          <w:color w:val="A6A6A6" w:themeColor="background1" w:themeShade="A6"/>
        </w:rPr>
      </w:pPr>
      <w:r>
        <w:rPr>
          <w:color w:val="A6A6A6" w:themeColor="background1" w:themeShade="A6"/>
        </w:rPr>
        <w:t>For DCCH-based approach, which information is provided by UE to indicate/request the switch into RRC_CONNECTED when non-SDT becomes available during an ongoing SDT session.</w:t>
      </w:r>
    </w:p>
    <w:p w14:paraId="15B4B644" w14:textId="77777777" w:rsidR="00EA567C" w:rsidRDefault="00786B2D">
      <w:pPr>
        <w:pStyle w:val="5"/>
        <w:rPr>
          <w:b/>
          <w:bCs/>
          <w:color w:val="0000CC"/>
        </w:rPr>
      </w:pPr>
      <w:r>
        <w:rPr>
          <w:b/>
          <w:bCs/>
          <w:color w:val="0000CC"/>
        </w:rPr>
        <w:fldChar w:fldCharType="begin"/>
      </w:r>
      <w:r>
        <w:rPr>
          <w:b/>
          <w:bCs/>
          <w:color w:val="0000CC"/>
        </w:rPr>
        <w:instrText xml:space="preserve"> REF _Ref75006027 \r \h </w:instrText>
      </w:r>
      <w:r>
        <w:rPr>
          <w:b/>
          <w:bCs/>
          <w:color w:val="0000CC"/>
        </w:rPr>
      </w:r>
      <w:r>
        <w:rPr>
          <w:b/>
          <w:bCs/>
          <w:color w:val="0000CC"/>
        </w:rPr>
        <w:fldChar w:fldCharType="separate"/>
      </w:r>
      <w:r>
        <w:rPr>
          <w:b/>
          <w:bCs/>
          <w:color w:val="0000CC"/>
        </w:rPr>
        <w:t>Q.19)</w:t>
      </w:r>
      <w:r>
        <w:rPr>
          <w:b/>
          <w:bCs/>
          <w:color w:val="0000CC"/>
        </w:rPr>
        <w:fldChar w:fldCharType="end"/>
      </w:r>
      <w:r>
        <w:rPr>
          <w:b/>
          <w:bCs/>
          <w:color w:val="0000CC"/>
          <w:lang w:val="en-US"/>
        </w:rPr>
        <w:t xml:space="preserve"> </w:t>
      </w:r>
      <w:r>
        <w:rPr>
          <w:b/>
          <w:bCs/>
          <w:color w:val="0000CC"/>
        </w:rPr>
        <w:t>for 2</w:t>
      </w:r>
      <w:r>
        <w:rPr>
          <w:b/>
          <w:bCs/>
          <w:color w:val="0000CC"/>
          <w:vertAlign w:val="superscript"/>
        </w:rPr>
        <w:t>nd</w:t>
      </w:r>
      <w:r>
        <w:rPr>
          <w:b/>
          <w:bCs/>
          <w:color w:val="0000CC"/>
        </w:rPr>
        <w:t xml:space="preserve"> Phase</w:t>
      </w:r>
    </w:p>
    <w:p w14:paraId="15B4B645"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_Ref75006027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Q.19)</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 and the responses provided during the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15B4B646" w14:textId="77777777" w:rsidR="00EA567C" w:rsidRDefault="00786B2D">
      <w:pPr>
        <w:pStyle w:val="a9"/>
        <w:numPr>
          <w:ilvl w:val="0"/>
          <w:numId w:val="30"/>
        </w:numPr>
        <w:overflowPunct/>
        <w:autoSpaceDE/>
        <w:autoSpaceDN/>
        <w:adjustRightInd/>
        <w:spacing w:after="120" w:line="259" w:lineRule="auto"/>
        <w:contextualSpacing w:val="0"/>
        <w:jc w:val="both"/>
        <w:rPr>
          <w:color w:val="0000CC"/>
        </w:rPr>
      </w:pPr>
      <w:bookmarkStart w:id="119" w:name="_Ref75006027"/>
      <w:r>
        <w:rPr>
          <w:color w:val="0000CC"/>
        </w:rPr>
        <w:t>For DCCH-based approach, which previous option 11.x or new option is preferable for the information to be provided by UE to indicate/request about the switch into CONNECTED when non-SDT becomes available in UE during an ongoing SDT session?</w:t>
      </w:r>
      <w:bookmarkEnd w:id="119"/>
    </w:p>
    <w:tbl>
      <w:tblPr>
        <w:tblStyle w:val="ab"/>
        <w:tblW w:w="0" w:type="auto"/>
        <w:tblLook w:val="04A0" w:firstRow="1" w:lastRow="0" w:firstColumn="1" w:lastColumn="0" w:noHBand="0" w:noVBand="1"/>
      </w:tblPr>
      <w:tblGrid>
        <w:gridCol w:w="1975"/>
        <w:gridCol w:w="1170"/>
        <w:gridCol w:w="6205"/>
      </w:tblGrid>
      <w:tr w:rsidR="00EA567C" w14:paraId="15B4B64A" w14:textId="77777777">
        <w:tc>
          <w:tcPr>
            <w:tcW w:w="1975" w:type="dxa"/>
            <w:shd w:val="clear" w:color="auto" w:fill="BFBFBF" w:themeFill="background1" w:themeFillShade="BF"/>
          </w:tcPr>
          <w:p w14:paraId="15B4B647"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648" w14:textId="77777777" w:rsidR="00EA567C" w:rsidRDefault="00786B2D">
            <w:pPr>
              <w:spacing w:after="0"/>
              <w:jc w:val="center"/>
              <w:rPr>
                <w:b/>
                <w:bCs/>
              </w:rPr>
            </w:pPr>
            <w:r>
              <w:rPr>
                <w:b/>
                <w:bCs/>
              </w:rPr>
              <w:t>Option(s)</w:t>
            </w:r>
          </w:p>
        </w:tc>
        <w:tc>
          <w:tcPr>
            <w:tcW w:w="6205" w:type="dxa"/>
            <w:shd w:val="clear" w:color="auto" w:fill="BFBFBF" w:themeFill="background1" w:themeFillShade="BF"/>
          </w:tcPr>
          <w:p w14:paraId="15B4B649" w14:textId="77777777" w:rsidR="00EA567C" w:rsidRDefault="00786B2D">
            <w:pPr>
              <w:spacing w:after="0"/>
              <w:jc w:val="center"/>
              <w:rPr>
                <w:b/>
                <w:bCs/>
              </w:rPr>
            </w:pPr>
            <w:r>
              <w:rPr>
                <w:b/>
                <w:bCs/>
              </w:rPr>
              <w:t>Justification</w:t>
            </w:r>
          </w:p>
        </w:tc>
      </w:tr>
      <w:tr w:rsidR="00EA567C" w14:paraId="15B4B64E" w14:textId="77777777">
        <w:tc>
          <w:tcPr>
            <w:tcW w:w="1975" w:type="dxa"/>
          </w:tcPr>
          <w:p w14:paraId="15B4B64B" w14:textId="77777777" w:rsidR="00EA567C" w:rsidRDefault="00786B2D">
            <w:pPr>
              <w:spacing w:after="0"/>
            </w:pPr>
            <w:r>
              <w:t>Huawei, HiSilicon</w:t>
            </w:r>
          </w:p>
        </w:tc>
        <w:tc>
          <w:tcPr>
            <w:tcW w:w="1170" w:type="dxa"/>
          </w:tcPr>
          <w:p w14:paraId="15B4B64C" w14:textId="77777777" w:rsidR="00EA567C" w:rsidRDefault="00786B2D">
            <w:pPr>
              <w:spacing w:after="0"/>
            </w:pPr>
            <w:r>
              <w:t>Option 11.c)</w:t>
            </w:r>
          </w:p>
        </w:tc>
        <w:tc>
          <w:tcPr>
            <w:tcW w:w="6205" w:type="dxa"/>
          </w:tcPr>
          <w:p w14:paraId="15B4B64D" w14:textId="77777777" w:rsidR="00EA567C" w:rsidRDefault="00786B2D">
            <w:pPr>
              <w:spacing w:after="0"/>
            </w:pPr>
            <w:r>
              <w:t>Since this will be based on another request from NAS layer, we understand the resume cause will also be provided (pending CT1 response). If this is confirmed by CT1, then we think resume cause needs to be included. There is no need to include 11.a) nor 11.b) – such information will be known via usual means, i.e. BSR.</w:t>
            </w:r>
          </w:p>
        </w:tc>
      </w:tr>
      <w:tr w:rsidR="00EA567C" w14:paraId="15B4B653" w14:textId="77777777">
        <w:trPr>
          <w:trHeight w:val="43"/>
        </w:trPr>
        <w:tc>
          <w:tcPr>
            <w:tcW w:w="1975" w:type="dxa"/>
          </w:tcPr>
          <w:p w14:paraId="15B4B64F" w14:textId="77777777" w:rsidR="00EA567C" w:rsidRDefault="00786B2D">
            <w:pPr>
              <w:spacing w:after="0"/>
            </w:pPr>
            <w:r>
              <w:t>ZTE</w:t>
            </w:r>
          </w:p>
        </w:tc>
        <w:tc>
          <w:tcPr>
            <w:tcW w:w="1170" w:type="dxa"/>
          </w:tcPr>
          <w:p w14:paraId="15B4B650" w14:textId="77777777" w:rsidR="00EA567C" w:rsidRDefault="00786B2D">
            <w:pPr>
              <w:spacing w:after="0"/>
            </w:pPr>
            <w:r>
              <w:t>Mandatory: 11.c</w:t>
            </w:r>
          </w:p>
          <w:p w14:paraId="15B4B651" w14:textId="77777777" w:rsidR="00EA567C" w:rsidRDefault="00786B2D">
            <w:pPr>
              <w:spacing w:after="0"/>
            </w:pPr>
            <w:r>
              <w:t>Optional others</w:t>
            </w:r>
          </w:p>
        </w:tc>
        <w:tc>
          <w:tcPr>
            <w:tcW w:w="6205" w:type="dxa"/>
          </w:tcPr>
          <w:p w14:paraId="15B4B652" w14:textId="77777777" w:rsidR="00EA567C" w:rsidRDefault="00786B2D">
            <w:pPr>
              <w:spacing w:after="0"/>
            </w:pPr>
            <w:r>
              <w:t xml:space="preserve">Resume cause can be included for sure, the remaining are nice to have and can be further discussed (leave to stage-3). </w:t>
            </w:r>
          </w:p>
        </w:tc>
      </w:tr>
      <w:tr w:rsidR="00EA567C" w14:paraId="15B4B657" w14:textId="77777777">
        <w:tc>
          <w:tcPr>
            <w:tcW w:w="1975" w:type="dxa"/>
          </w:tcPr>
          <w:p w14:paraId="15B4B654" w14:textId="77777777" w:rsidR="00EA567C" w:rsidRDefault="00786B2D">
            <w:pPr>
              <w:spacing w:after="0"/>
            </w:pPr>
            <w:r>
              <w:t>InterDigital</w:t>
            </w:r>
          </w:p>
        </w:tc>
        <w:tc>
          <w:tcPr>
            <w:tcW w:w="1170" w:type="dxa"/>
          </w:tcPr>
          <w:p w14:paraId="15B4B655" w14:textId="77777777" w:rsidR="00EA567C" w:rsidRDefault="00786B2D">
            <w:pPr>
              <w:spacing w:after="0"/>
            </w:pPr>
            <w:r>
              <w:t>At least 11.c)</w:t>
            </w:r>
          </w:p>
        </w:tc>
        <w:tc>
          <w:tcPr>
            <w:tcW w:w="6205" w:type="dxa"/>
          </w:tcPr>
          <w:p w14:paraId="15B4B656" w14:textId="77777777" w:rsidR="00EA567C" w:rsidRDefault="00786B2D">
            <w:pPr>
              <w:spacing w:after="0"/>
            </w:pPr>
            <w:r>
              <w:t>Resume cause should be provided. We are open to other options.</w:t>
            </w:r>
          </w:p>
        </w:tc>
      </w:tr>
      <w:tr w:rsidR="00EA567C" w14:paraId="15B4B65C" w14:textId="77777777">
        <w:tc>
          <w:tcPr>
            <w:tcW w:w="1975" w:type="dxa"/>
          </w:tcPr>
          <w:p w14:paraId="15B4B658" w14:textId="77777777" w:rsidR="00EA567C" w:rsidRDefault="00786B2D">
            <w:pPr>
              <w:spacing w:after="0"/>
            </w:pPr>
            <w:r>
              <w:t>CATT</w:t>
            </w:r>
          </w:p>
        </w:tc>
        <w:tc>
          <w:tcPr>
            <w:tcW w:w="1170" w:type="dxa"/>
          </w:tcPr>
          <w:p w14:paraId="15B4B659" w14:textId="77777777" w:rsidR="00EA567C" w:rsidRDefault="00786B2D">
            <w:pPr>
              <w:spacing w:after="0"/>
            </w:pPr>
            <w:r>
              <w:t>Option 11.a)/11.b)/ 11.c)</w:t>
            </w:r>
          </w:p>
        </w:tc>
        <w:tc>
          <w:tcPr>
            <w:tcW w:w="6205" w:type="dxa"/>
          </w:tcPr>
          <w:p w14:paraId="15B4B65A" w14:textId="77777777" w:rsidR="00EA567C" w:rsidRDefault="00786B2D">
            <w:pPr>
              <w:spacing w:after="0"/>
            </w:pPr>
            <w:r>
              <w:t>1)</w:t>
            </w:r>
            <w:r>
              <w:tab/>
              <w:t>The UE initiates the DCCH message due to different cause values, e.g. emergency service becomes available, or normal big data becomes available. The network needs to know the resume cause to perform different behaviours, e.g. the network switches the UE into RRC_CONNECTED immediately if it finds emergency service is available.</w:t>
            </w:r>
          </w:p>
          <w:p w14:paraId="15B4B65B" w14:textId="77777777" w:rsidR="00EA567C" w:rsidRDefault="00786B2D">
            <w:pPr>
              <w:spacing w:after="0"/>
            </w:pPr>
            <w:r>
              <w:t>2)</w:t>
            </w:r>
            <w:r>
              <w:tab/>
              <w:t>As non-SDT was not resumed, BSR cannot be triggered. We prefer to report the data volume available of non-SDT RBs and list of RB IDs to the network. The network can perform different behaviours based on the info, e.g. whether to configure DC for the UE.</w:t>
            </w:r>
          </w:p>
        </w:tc>
      </w:tr>
      <w:tr w:rsidR="00EA567C" w14:paraId="15B4B660" w14:textId="77777777">
        <w:tc>
          <w:tcPr>
            <w:tcW w:w="1975" w:type="dxa"/>
          </w:tcPr>
          <w:p w14:paraId="15B4B65D" w14:textId="77777777" w:rsidR="00EA567C" w:rsidRDefault="00786B2D">
            <w:pPr>
              <w:spacing w:after="0"/>
            </w:pPr>
            <w:r>
              <w:rPr>
                <w:rFonts w:eastAsiaTheme="minorEastAsia" w:hint="eastAsia"/>
              </w:rPr>
              <w:t>Samsung</w:t>
            </w:r>
          </w:p>
        </w:tc>
        <w:tc>
          <w:tcPr>
            <w:tcW w:w="1170" w:type="dxa"/>
          </w:tcPr>
          <w:p w14:paraId="15B4B65E" w14:textId="77777777" w:rsidR="00EA567C" w:rsidRDefault="00786B2D">
            <w:pPr>
              <w:spacing w:after="0"/>
            </w:pPr>
            <w:r>
              <w:rPr>
                <w:rFonts w:eastAsiaTheme="minorEastAsia" w:hint="eastAsia"/>
              </w:rPr>
              <w:t>11.a, 11.b</w:t>
            </w:r>
            <w:r>
              <w:rPr>
                <w:rFonts w:eastAsiaTheme="minorEastAsia"/>
              </w:rPr>
              <w:t>, 11.c</w:t>
            </w:r>
          </w:p>
        </w:tc>
        <w:tc>
          <w:tcPr>
            <w:tcW w:w="6205" w:type="dxa"/>
          </w:tcPr>
          <w:p w14:paraId="15B4B65F" w14:textId="77777777" w:rsidR="00EA567C" w:rsidRDefault="00786B2D">
            <w:pPr>
              <w:spacing w:after="0"/>
            </w:pPr>
            <w:r>
              <w:rPr>
                <w:rFonts w:eastAsiaTheme="minorEastAsia" w:hint="eastAsia"/>
              </w:rPr>
              <w:t>Samsung</w:t>
            </w:r>
          </w:p>
        </w:tc>
      </w:tr>
      <w:tr w:rsidR="00EA567C" w14:paraId="15B4B665" w14:textId="77777777">
        <w:tc>
          <w:tcPr>
            <w:tcW w:w="1975" w:type="dxa"/>
          </w:tcPr>
          <w:p w14:paraId="15B4B661" w14:textId="77777777" w:rsidR="00EA567C" w:rsidRDefault="00786B2D">
            <w:pPr>
              <w:spacing w:after="0"/>
              <w:rPr>
                <w:rFonts w:eastAsiaTheme="minorEastAsia"/>
              </w:rPr>
            </w:pPr>
            <w:r>
              <w:rPr>
                <w:rFonts w:eastAsiaTheme="minorEastAsia" w:hint="eastAsia"/>
              </w:rPr>
              <w:t>Fujitsu</w:t>
            </w:r>
          </w:p>
        </w:tc>
        <w:tc>
          <w:tcPr>
            <w:tcW w:w="1170" w:type="dxa"/>
          </w:tcPr>
          <w:p w14:paraId="15B4B662" w14:textId="77777777" w:rsidR="00EA567C" w:rsidRDefault="00786B2D">
            <w:pPr>
              <w:spacing w:after="0"/>
              <w:rPr>
                <w:rFonts w:eastAsiaTheme="minorEastAsia"/>
              </w:rPr>
            </w:pPr>
            <w:r>
              <w:rPr>
                <w:rFonts w:eastAsiaTheme="minorEastAsia" w:hint="eastAsia"/>
              </w:rPr>
              <w:t>Option 11.b)</w:t>
            </w:r>
          </w:p>
        </w:tc>
        <w:tc>
          <w:tcPr>
            <w:tcW w:w="6205" w:type="dxa"/>
          </w:tcPr>
          <w:p w14:paraId="15B4B663" w14:textId="77777777" w:rsidR="00EA567C" w:rsidRDefault="00786B2D">
            <w:pPr>
              <w:spacing w:after="0"/>
              <w:rPr>
                <w:rFonts w:eastAsiaTheme="minorEastAsia"/>
              </w:rPr>
            </w:pPr>
            <w:r>
              <w:rPr>
                <w:rFonts w:eastAsiaTheme="minorEastAsia" w:hint="eastAsia"/>
              </w:rPr>
              <w:t xml:space="preserve">We </w:t>
            </w:r>
            <w:r>
              <w:rPr>
                <w:rFonts w:eastAsiaTheme="minorEastAsia"/>
              </w:rPr>
              <w:t>guess that 11.b) covers 11.a).</w:t>
            </w:r>
          </w:p>
          <w:p w14:paraId="15B4B664" w14:textId="77777777" w:rsidR="00EA567C" w:rsidRDefault="00786B2D">
            <w:pPr>
              <w:spacing w:after="0"/>
              <w:rPr>
                <w:rFonts w:eastAsiaTheme="minorEastAsia"/>
              </w:rPr>
            </w:pPr>
            <w:r>
              <w:rPr>
                <w:rFonts w:eastAsiaTheme="minorEastAsia"/>
              </w:rPr>
              <w:lastRenderedPageBreak/>
              <w:t>The key point is that data volume would be informed to the gNB for the purpose of proper configuration and data scheduling to the UE.</w:t>
            </w:r>
          </w:p>
        </w:tc>
      </w:tr>
      <w:tr w:rsidR="00EA567C" w14:paraId="15B4B669" w14:textId="77777777">
        <w:tc>
          <w:tcPr>
            <w:tcW w:w="1975" w:type="dxa"/>
          </w:tcPr>
          <w:p w14:paraId="15B4B666" w14:textId="77777777" w:rsidR="00EA567C" w:rsidRDefault="00786B2D">
            <w:pPr>
              <w:spacing w:after="0"/>
              <w:rPr>
                <w:rFonts w:eastAsia="Malgun Gothic"/>
                <w:lang w:eastAsia="ko-KR"/>
              </w:rPr>
            </w:pPr>
            <w:r>
              <w:rPr>
                <w:rFonts w:eastAsia="Malgun Gothic" w:hint="eastAsia"/>
                <w:lang w:eastAsia="ko-KR"/>
              </w:rPr>
              <w:lastRenderedPageBreak/>
              <w:t>LG</w:t>
            </w:r>
          </w:p>
        </w:tc>
        <w:tc>
          <w:tcPr>
            <w:tcW w:w="1170" w:type="dxa"/>
          </w:tcPr>
          <w:p w14:paraId="15B4B667" w14:textId="77777777" w:rsidR="00EA567C" w:rsidRDefault="00786B2D">
            <w:pPr>
              <w:spacing w:after="0"/>
              <w:rPr>
                <w:rFonts w:eastAsia="Malgun Gothic"/>
                <w:lang w:eastAsia="ko-KR"/>
              </w:rPr>
            </w:pPr>
            <w:r>
              <w:rPr>
                <w:rFonts w:eastAsia="Malgun Gothic" w:hint="eastAsia"/>
                <w:lang w:eastAsia="ko-KR"/>
              </w:rPr>
              <w:t>11.c</w:t>
            </w:r>
          </w:p>
        </w:tc>
        <w:tc>
          <w:tcPr>
            <w:tcW w:w="6205" w:type="dxa"/>
          </w:tcPr>
          <w:p w14:paraId="15B4B668" w14:textId="77777777" w:rsidR="00EA567C" w:rsidRDefault="00786B2D">
            <w:pPr>
              <w:spacing w:after="0"/>
              <w:rPr>
                <w:rFonts w:eastAsia="Malgun Gothic"/>
                <w:lang w:eastAsia="ko-KR"/>
              </w:rPr>
            </w:pPr>
            <w:r>
              <w:rPr>
                <w:rFonts w:eastAsia="Malgun Gothic" w:hint="eastAsia"/>
                <w:lang w:eastAsia="ko-KR"/>
              </w:rPr>
              <w:t xml:space="preserve">We think non-SDT data does not arrive at AS layer. </w:t>
            </w:r>
            <w:r>
              <w:rPr>
                <w:rFonts w:eastAsia="Malgun Gothic"/>
                <w:lang w:eastAsia="ko-KR"/>
              </w:rPr>
              <w:t>Thus, 11.a and 11.b are not suitable.</w:t>
            </w:r>
          </w:p>
        </w:tc>
      </w:tr>
      <w:tr w:rsidR="00EF1350" w14:paraId="6EF492FF" w14:textId="77777777">
        <w:tc>
          <w:tcPr>
            <w:tcW w:w="1975" w:type="dxa"/>
          </w:tcPr>
          <w:p w14:paraId="75128DFD" w14:textId="1899CD29" w:rsidR="00EF1350" w:rsidRDefault="00EF1350" w:rsidP="00EF1350">
            <w:pPr>
              <w:spacing w:after="0"/>
              <w:rPr>
                <w:rFonts w:eastAsia="Malgun Gothic"/>
                <w:lang w:eastAsia="ko-KR"/>
              </w:rPr>
            </w:pPr>
            <w:r>
              <w:t>Intel</w:t>
            </w:r>
          </w:p>
        </w:tc>
        <w:tc>
          <w:tcPr>
            <w:tcW w:w="1170" w:type="dxa"/>
          </w:tcPr>
          <w:p w14:paraId="63DE2A3B" w14:textId="5F6059B0" w:rsidR="00EF1350" w:rsidRDefault="00EF1350" w:rsidP="00EF1350">
            <w:pPr>
              <w:spacing w:after="0"/>
              <w:rPr>
                <w:rFonts w:eastAsia="Malgun Gothic"/>
                <w:lang w:eastAsia="ko-KR"/>
              </w:rPr>
            </w:pPr>
            <w:r>
              <w:t>11c), 11.d)</w:t>
            </w:r>
          </w:p>
        </w:tc>
        <w:tc>
          <w:tcPr>
            <w:tcW w:w="6205" w:type="dxa"/>
          </w:tcPr>
          <w:p w14:paraId="5D06F512" w14:textId="0E5D8CD5" w:rsidR="00EF1350" w:rsidRDefault="00EF1350" w:rsidP="00EF1350">
            <w:pPr>
              <w:spacing w:after="0"/>
              <w:rPr>
                <w:rFonts w:eastAsia="Malgun Gothic"/>
                <w:lang w:eastAsia="ko-KR"/>
              </w:rPr>
            </w:pPr>
            <w:r>
              <w:t>In our understanding, it is sufficient if UE indicates that there is non-SDT data waiting to be delivered for the network to decide whether to transition or not the UE to RRC_CONNECTED. On other hand, there might be scenarios where providing resume cause information may be helpful e.g. for emergency access.</w:t>
            </w:r>
          </w:p>
        </w:tc>
      </w:tr>
      <w:tr w:rsidR="00D56910" w14:paraId="6ADFF04D" w14:textId="77777777">
        <w:tc>
          <w:tcPr>
            <w:tcW w:w="1975" w:type="dxa"/>
          </w:tcPr>
          <w:p w14:paraId="5513AD70" w14:textId="45C42228" w:rsidR="00D56910" w:rsidRDefault="00D56910" w:rsidP="00D56910">
            <w:pPr>
              <w:spacing w:after="0"/>
            </w:pPr>
            <w:r>
              <w:rPr>
                <w:rFonts w:hint="eastAsia"/>
                <w:lang w:eastAsia="zh-CN"/>
              </w:rPr>
              <w:t>N</w:t>
            </w:r>
            <w:r>
              <w:rPr>
                <w:lang w:eastAsia="zh-CN"/>
              </w:rPr>
              <w:t>EC</w:t>
            </w:r>
          </w:p>
        </w:tc>
        <w:tc>
          <w:tcPr>
            <w:tcW w:w="1170" w:type="dxa"/>
          </w:tcPr>
          <w:p w14:paraId="6EF177DA" w14:textId="105F2064" w:rsidR="00D56910" w:rsidRDefault="00D56910" w:rsidP="00D56910">
            <w:pPr>
              <w:spacing w:after="0"/>
            </w:pPr>
            <w:r>
              <w:t>At least 11.c)</w:t>
            </w:r>
          </w:p>
        </w:tc>
        <w:tc>
          <w:tcPr>
            <w:tcW w:w="6205" w:type="dxa"/>
          </w:tcPr>
          <w:p w14:paraId="408FE20D" w14:textId="2C6A5739" w:rsidR="00D56910" w:rsidRDefault="00D56910" w:rsidP="00D56910">
            <w:pPr>
              <w:spacing w:after="0"/>
            </w:pPr>
            <w:r>
              <w:t>We are open to other options.</w:t>
            </w:r>
          </w:p>
        </w:tc>
      </w:tr>
    </w:tbl>
    <w:p w14:paraId="15B4B66A" w14:textId="77777777" w:rsidR="00EA567C" w:rsidRDefault="00EA567C">
      <w:pPr>
        <w:spacing w:after="120"/>
        <w:jc w:val="both"/>
      </w:pPr>
    </w:p>
    <w:p w14:paraId="15B4B66B" w14:textId="77777777" w:rsidR="00EA567C" w:rsidRDefault="00786B2D">
      <w:pPr>
        <w:pStyle w:val="3"/>
      </w:pPr>
      <w:bookmarkStart w:id="120" w:name="_Ref75008680"/>
      <w:r>
        <w:t>[DCCH point (2)] switch from SDT to CONNECTED</w:t>
      </w:r>
      <w:bookmarkEnd w:id="120"/>
    </w:p>
    <w:p w14:paraId="15B4B66C"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For DCCH approach, the switch from SDT to CONNECTED is under network control, therefore after UE informs the network that non-SDT data is available, UE continues with the SDT session ongoing until network informs otherwise to UE. For example, network may respond at some point with </w:t>
      </w:r>
      <w:r>
        <w:rPr>
          <w:rFonts w:ascii="Times New Roman" w:hAnsi="Times New Roman" w:cs="Times New Roman"/>
          <w:i/>
          <w:iCs/>
          <w:sz w:val="20"/>
          <w:szCs w:val="20"/>
        </w:rPr>
        <w:t>RRCResume</w:t>
      </w:r>
      <w:r>
        <w:rPr>
          <w:rFonts w:ascii="Times New Roman" w:hAnsi="Times New Roman" w:cs="Times New Roman"/>
          <w:sz w:val="20"/>
          <w:szCs w:val="20"/>
        </w:rPr>
        <w:t xml:space="preserve"> or </w:t>
      </w:r>
      <w:r>
        <w:rPr>
          <w:rFonts w:ascii="Times New Roman" w:hAnsi="Times New Roman" w:cs="Times New Roman"/>
          <w:i/>
          <w:iCs/>
          <w:sz w:val="20"/>
          <w:szCs w:val="20"/>
        </w:rPr>
        <w:t>RRCRelease</w:t>
      </w:r>
      <w:r>
        <w:rPr>
          <w:rFonts w:ascii="Times New Roman" w:hAnsi="Times New Roman" w:cs="Times New Roman"/>
          <w:sz w:val="20"/>
          <w:szCs w:val="20"/>
        </w:rPr>
        <w:t xml:space="preserve">. Upon UE receives </w:t>
      </w:r>
      <w:r>
        <w:rPr>
          <w:rFonts w:ascii="Times New Roman" w:hAnsi="Times New Roman" w:cs="Times New Roman"/>
          <w:i/>
          <w:iCs/>
          <w:sz w:val="20"/>
          <w:szCs w:val="20"/>
        </w:rPr>
        <w:t>RRCResume</w:t>
      </w:r>
      <w:r>
        <w:rPr>
          <w:rFonts w:ascii="Times New Roman" w:hAnsi="Times New Roman" w:cs="Times New Roman"/>
          <w:sz w:val="20"/>
          <w:szCs w:val="20"/>
        </w:rPr>
        <w:t xml:space="preserve"> message, UE only re-establishes/resumes the non-SDT DRBs (as SDT RBs were already re-established/resumed upon initiating the SDT session)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_Ref74089061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t>.</w:t>
      </w:r>
    </w:p>
    <w:p w14:paraId="15B4B66D" w14:textId="77777777" w:rsidR="00EA567C" w:rsidRDefault="00786B2D">
      <w:pPr>
        <w:pStyle w:val="observ"/>
        <w:ind w:left="360"/>
      </w:pPr>
      <w:r>
        <w:t>For DCCH approach, a</w:t>
      </w:r>
      <w:r>
        <w:rPr>
          <w:lang w:eastAsia="x-none"/>
        </w:rPr>
        <w:t xml:space="preserve">fter UE informs the network that non-SDT data is available, </w:t>
      </w:r>
      <w:bookmarkStart w:id="121" w:name="_Hlk75009070"/>
      <w:r>
        <w:rPr>
          <w:lang w:eastAsia="x-none"/>
        </w:rPr>
        <w:t xml:space="preserve">UE continues with the </w:t>
      </w:r>
      <w:r>
        <w:t>SDT session ongoing until network informs otherwise to UE (i.e. by transitioning the UE into RRC_CONNECTED or releasing the UE into legacy RRC_INACTIVE or RRC_IDLE)</w:t>
      </w:r>
      <w:bookmarkEnd w:id="121"/>
      <w:r>
        <w:rPr>
          <w:lang w:eastAsia="x-none"/>
        </w:rPr>
        <w:t xml:space="preserve">. </w:t>
      </w:r>
      <w:r>
        <w:t xml:space="preserve">Upon UE receives </w:t>
      </w:r>
      <w:r>
        <w:rPr>
          <w:i/>
          <w:iCs/>
        </w:rPr>
        <w:t>RRCResume</w:t>
      </w:r>
      <w:r>
        <w:t xml:space="preserve"> message, only the PDCP of non-SDT DRBs are re-established and resumed (as SDT RBs were already re-established/resumed upon initiating the SDT session).</w:t>
      </w:r>
    </w:p>
    <w:p w14:paraId="15B4B66E" w14:textId="77777777" w:rsidR="00EA567C" w:rsidRDefault="00786B2D">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For DCCH-based approach, the topic addressed in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_Ref74084190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Discussion point 1)</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t xml:space="preserve"> on how to handle the scenario when </w:t>
      </w:r>
      <w:r>
        <w:rPr>
          <w:rFonts w:ascii="Times New Roman" w:hAnsi="Times New Roman" w:cs="Times New Roman"/>
          <w:sz w:val="20"/>
          <w:szCs w:val="20"/>
        </w:rPr>
        <w:t>switching from SDT to CONNECTED during an ongoing SDT session where the UE context was not relocated by the network at the beginning of the SDT session is also applicable</w:t>
      </w:r>
      <w:r>
        <w:rPr>
          <w:rFonts w:ascii="Times New Roman" w:hAnsi="Times New Roman" w:cs="Times New Roman"/>
          <w:sz w:val="20"/>
          <w:szCs w:val="20"/>
          <w:lang w:eastAsia="x-none"/>
        </w:rPr>
        <w:t xml:space="preserve">. </w:t>
      </w:r>
    </w:p>
    <w:p w14:paraId="15B4B66F" w14:textId="77777777" w:rsidR="00EA567C" w:rsidRDefault="00786B2D">
      <w:pPr>
        <w:pStyle w:val="a9"/>
        <w:numPr>
          <w:ilvl w:val="0"/>
          <w:numId w:val="6"/>
        </w:numPr>
        <w:ind w:left="360"/>
        <w:contextualSpacing w:val="0"/>
        <w:jc w:val="both"/>
        <w:rPr>
          <w:color w:val="A6A6A6" w:themeColor="background1" w:themeShade="A6"/>
        </w:rPr>
      </w:pPr>
      <w:r>
        <w:rPr>
          <w:color w:val="A6A6A6" w:themeColor="background1" w:themeShade="A6"/>
        </w:rPr>
        <w:t xml:space="preserve">When switching from SDT to non-SDT (i.e. CONNECTED) via DCCH-based approach and for the scenario where the ongoing SDT session is without UE AS context relocation, previous </w:t>
      </w:r>
      <w:r>
        <w:rPr>
          <w:color w:val="A6A6A6" w:themeColor="background1" w:themeShade="A6"/>
          <w:lang w:eastAsia="x-none"/>
        </w:rPr>
        <w:fldChar w:fldCharType="begin"/>
      </w:r>
      <w:r>
        <w:rPr>
          <w:color w:val="A6A6A6" w:themeColor="background1" w:themeShade="A6"/>
          <w:lang w:eastAsia="x-none"/>
        </w:rPr>
        <w:instrText xml:space="preserve"> REF _Ref74084190 \r \h </w:instrText>
      </w:r>
      <w:r>
        <w:rPr>
          <w:color w:val="A6A6A6" w:themeColor="background1" w:themeShade="A6"/>
          <w:lang w:eastAsia="x-none"/>
        </w:rPr>
      </w:r>
      <w:r>
        <w:rPr>
          <w:color w:val="A6A6A6" w:themeColor="background1" w:themeShade="A6"/>
          <w:lang w:eastAsia="x-none"/>
        </w:rPr>
        <w:fldChar w:fldCharType="separate"/>
      </w:r>
      <w:r>
        <w:rPr>
          <w:color w:val="A6A6A6" w:themeColor="background1" w:themeShade="A6"/>
          <w:lang w:eastAsia="x-none"/>
        </w:rPr>
        <w:t>Discussion point 1)</w:t>
      </w:r>
      <w:r>
        <w:rPr>
          <w:color w:val="A6A6A6" w:themeColor="background1" w:themeShade="A6"/>
          <w:lang w:eastAsia="x-none"/>
        </w:rPr>
        <w:fldChar w:fldCharType="end"/>
      </w:r>
      <w:r>
        <w:rPr>
          <w:color w:val="A6A6A6" w:themeColor="background1" w:themeShade="A6"/>
        </w:rPr>
        <w:t xml:space="preserve"> is applicable (and would also need to be addressed).</w:t>
      </w:r>
    </w:p>
    <w:p w14:paraId="15B4B670" w14:textId="77777777" w:rsidR="00EA567C" w:rsidRDefault="00786B2D">
      <w:pPr>
        <w:pStyle w:val="4"/>
        <w:rPr>
          <w:color w:val="0000CC"/>
        </w:rPr>
      </w:pPr>
      <w:r>
        <w:rPr>
          <w:color w:val="0000CC"/>
          <w:lang w:val="en-US"/>
        </w:rPr>
        <w:fldChar w:fldCharType="begin"/>
      </w:r>
      <w:r>
        <w:rPr>
          <w:color w:val="0000CC"/>
          <w:lang w:val="en-US"/>
        </w:rPr>
        <w:instrText xml:space="preserve"> REF _Ref75005953 \r \h </w:instrText>
      </w:r>
      <w:r>
        <w:rPr>
          <w:color w:val="0000CC"/>
          <w:lang w:val="en-US"/>
        </w:rPr>
      </w:r>
      <w:r>
        <w:rPr>
          <w:color w:val="0000CC"/>
          <w:lang w:val="en-US"/>
        </w:rPr>
        <w:fldChar w:fldCharType="separate"/>
      </w:r>
      <w:r>
        <w:rPr>
          <w:color w:val="0000CC"/>
          <w:lang w:val="en-US"/>
        </w:rPr>
        <w:t>Q.20)</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671"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b/>
          <w:bCs/>
          <w:iCs/>
          <w:color w:val="0000CC"/>
          <w:sz w:val="20"/>
          <w:szCs w:val="20"/>
        </w:rPr>
        <w:fldChar w:fldCharType="begin"/>
      </w:r>
      <w:r>
        <w:rPr>
          <w:rFonts w:ascii="Times New Roman" w:hAnsi="Times New Roman" w:cs="Times New Roman"/>
          <w:b/>
          <w:bCs/>
          <w:iCs/>
          <w:color w:val="0000CC"/>
          <w:sz w:val="20"/>
          <w:szCs w:val="20"/>
        </w:rPr>
        <w:instrText xml:space="preserve"> REF _Ref75005953 \r \h </w:instrText>
      </w:r>
      <w:r>
        <w:rPr>
          <w:rFonts w:ascii="Times New Roman" w:hAnsi="Times New Roman" w:cs="Times New Roman"/>
          <w:b/>
          <w:bCs/>
          <w:iCs/>
          <w:color w:val="0000CC"/>
          <w:sz w:val="20"/>
          <w:szCs w:val="20"/>
        </w:rPr>
      </w:r>
      <w:r>
        <w:rPr>
          <w:rFonts w:ascii="Times New Roman" w:hAnsi="Times New Roman" w:cs="Times New Roman"/>
          <w:b/>
          <w:bCs/>
          <w:iCs/>
          <w:color w:val="0000CC"/>
          <w:sz w:val="20"/>
          <w:szCs w:val="20"/>
        </w:rPr>
        <w:fldChar w:fldCharType="separate"/>
      </w:r>
      <w:r>
        <w:rPr>
          <w:rFonts w:ascii="Times New Roman" w:hAnsi="Times New Roman" w:cs="Times New Roman"/>
          <w:b/>
          <w:bCs/>
          <w:iCs/>
          <w:color w:val="0000CC"/>
          <w:sz w:val="20"/>
          <w:szCs w:val="20"/>
        </w:rPr>
        <w:t>Q.20)</w:t>
      </w:r>
      <w:r>
        <w:rPr>
          <w:rFonts w:ascii="Times New Roman" w:hAnsi="Times New Roman" w:cs="Times New Roman"/>
          <w:b/>
          <w:bCs/>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672" w14:textId="77777777" w:rsidR="00EA567C" w:rsidRDefault="00786B2D">
      <w:pPr>
        <w:pStyle w:val="a9"/>
        <w:numPr>
          <w:ilvl w:val="0"/>
          <w:numId w:val="30"/>
        </w:numPr>
        <w:overflowPunct/>
        <w:autoSpaceDE/>
        <w:autoSpaceDN/>
        <w:adjustRightInd/>
        <w:spacing w:after="120" w:line="259" w:lineRule="auto"/>
        <w:contextualSpacing w:val="0"/>
        <w:jc w:val="both"/>
      </w:pPr>
      <w:bookmarkStart w:id="122" w:name="_Ref75005953"/>
      <w:r>
        <w:rPr>
          <w:color w:val="0000CC"/>
        </w:rPr>
        <w:t xml:space="preserve">When switching from SDT to non-SDT (i.e. CONNECTED) via DCCH-based approach and for the scenario where the ongoing SDT session is without UE AS context relocation, previous </w:t>
      </w:r>
      <w:r>
        <w:rPr>
          <w:color w:val="0000CC"/>
        </w:rPr>
        <w:fldChar w:fldCharType="begin"/>
      </w:r>
      <w:r>
        <w:rPr>
          <w:color w:val="0000CC"/>
        </w:rPr>
        <w:instrText xml:space="preserve"> REF _Ref75089376 \r \h </w:instrText>
      </w:r>
      <w:r>
        <w:rPr>
          <w:color w:val="0000CC"/>
        </w:rPr>
      </w:r>
      <w:r>
        <w:rPr>
          <w:color w:val="0000CC"/>
        </w:rPr>
        <w:fldChar w:fldCharType="separate"/>
      </w:r>
      <w:r>
        <w:rPr>
          <w:color w:val="0000CC"/>
        </w:rPr>
        <w:t>Q.1)</w:t>
      </w:r>
      <w:r>
        <w:rPr>
          <w:color w:val="0000CC"/>
        </w:rPr>
        <w:fldChar w:fldCharType="end"/>
      </w:r>
      <w:r>
        <w:rPr>
          <w:color w:val="0000CC"/>
        </w:rPr>
        <w:t xml:space="preserve"> to </w:t>
      </w:r>
      <w:r>
        <w:rPr>
          <w:color w:val="0000CC"/>
        </w:rPr>
        <w:fldChar w:fldCharType="begin"/>
      </w:r>
      <w:r>
        <w:rPr>
          <w:color w:val="0000CC"/>
        </w:rPr>
        <w:instrText xml:space="preserve"> REF _Ref75224616 \r \h </w:instrText>
      </w:r>
      <w:r>
        <w:rPr>
          <w:color w:val="0000CC"/>
        </w:rPr>
      </w:r>
      <w:r>
        <w:rPr>
          <w:color w:val="0000CC"/>
        </w:rPr>
        <w:fldChar w:fldCharType="separate"/>
      </w:r>
      <w:r>
        <w:rPr>
          <w:color w:val="0000CC"/>
        </w:rPr>
        <w:t>Q.5)</w:t>
      </w:r>
      <w:r>
        <w:rPr>
          <w:color w:val="0000CC"/>
        </w:rPr>
        <w:fldChar w:fldCharType="end"/>
      </w:r>
      <w:r>
        <w:rPr>
          <w:color w:val="0000CC"/>
        </w:rPr>
        <w:t xml:space="preserve"> and the responses are expected to be applicable. Please indicate if your responses provided for previous </w:t>
      </w:r>
      <w:r>
        <w:rPr>
          <w:color w:val="0000CC"/>
        </w:rPr>
        <w:fldChar w:fldCharType="begin"/>
      </w:r>
      <w:r>
        <w:rPr>
          <w:color w:val="0000CC"/>
        </w:rPr>
        <w:instrText xml:space="preserve"> REF _Ref75089376 \r \h </w:instrText>
      </w:r>
      <w:r>
        <w:rPr>
          <w:color w:val="0000CC"/>
        </w:rPr>
      </w:r>
      <w:r>
        <w:rPr>
          <w:color w:val="0000CC"/>
        </w:rPr>
        <w:fldChar w:fldCharType="separate"/>
      </w:r>
      <w:r>
        <w:rPr>
          <w:color w:val="0000CC"/>
        </w:rPr>
        <w:t>Q.1)</w:t>
      </w:r>
      <w:r>
        <w:rPr>
          <w:color w:val="0000CC"/>
        </w:rPr>
        <w:fldChar w:fldCharType="end"/>
      </w:r>
      <w:r>
        <w:rPr>
          <w:color w:val="0000CC"/>
        </w:rPr>
        <w:t xml:space="preserve"> to </w:t>
      </w:r>
      <w:r>
        <w:rPr>
          <w:color w:val="0000CC"/>
        </w:rPr>
        <w:fldChar w:fldCharType="begin"/>
      </w:r>
      <w:r>
        <w:rPr>
          <w:color w:val="0000CC"/>
        </w:rPr>
        <w:instrText xml:space="preserve"> REF _Ref75224616 \r \h </w:instrText>
      </w:r>
      <w:r>
        <w:rPr>
          <w:color w:val="0000CC"/>
        </w:rPr>
      </w:r>
      <w:r>
        <w:rPr>
          <w:color w:val="0000CC"/>
        </w:rPr>
        <w:fldChar w:fldCharType="separate"/>
      </w:r>
      <w:r>
        <w:rPr>
          <w:color w:val="0000CC"/>
        </w:rPr>
        <w:t>Q.5)</w:t>
      </w:r>
      <w:r>
        <w:rPr>
          <w:color w:val="0000CC"/>
        </w:rPr>
        <w:fldChar w:fldCharType="end"/>
      </w:r>
      <w:r>
        <w:rPr>
          <w:color w:val="0000CC"/>
        </w:rPr>
        <w:t xml:space="preserve"> are </w:t>
      </w:r>
      <w:r>
        <w:rPr>
          <w:color w:val="0000CC"/>
          <w:u w:val="single"/>
        </w:rPr>
        <w:t>not</w:t>
      </w:r>
      <w:r>
        <w:rPr>
          <w:color w:val="0000CC"/>
        </w:rPr>
        <w:t xml:space="preserve"> applicable when using DCCH-based approach and if so, please explain the different behaviour/operation.</w:t>
      </w:r>
      <w:bookmarkEnd w:id="122"/>
    </w:p>
    <w:tbl>
      <w:tblPr>
        <w:tblStyle w:val="ab"/>
        <w:tblW w:w="0" w:type="auto"/>
        <w:tblLook w:val="04A0" w:firstRow="1" w:lastRow="0" w:firstColumn="1" w:lastColumn="0" w:noHBand="0" w:noVBand="1"/>
      </w:tblPr>
      <w:tblGrid>
        <w:gridCol w:w="1345"/>
        <w:gridCol w:w="2700"/>
        <w:gridCol w:w="5305"/>
      </w:tblGrid>
      <w:tr w:rsidR="00EA567C" w14:paraId="15B4B676" w14:textId="77777777">
        <w:tc>
          <w:tcPr>
            <w:tcW w:w="1345" w:type="dxa"/>
            <w:shd w:val="clear" w:color="auto" w:fill="BFBFBF" w:themeFill="background1" w:themeFillShade="BF"/>
          </w:tcPr>
          <w:p w14:paraId="15B4B673" w14:textId="77777777" w:rsidR="00EA567C" w:rsidRDefault="00786B2D">
            <w:pPr>
              <w:spacing w:after="0"/>
              <w:jc w:val="center"/>
              <w:rPr>
                <w:b/>
                <w:bCs/>
              </w:rPr>
            </w:pPr>
            <w:r>
              <w:rPr>
                <w:b/>
                <w:bCs/>
              </w:rPr>
              <w:t>Company’s name</w:t>
            </w:r>
          </w:p>
        </w:tc>
        <w:tc>
          <w:tcPr>
            <w:tcW w:w="2700" w:type="dxa"/>
            <w:shd w:val="clear" w:color="auto" w:fill="BFBFBF" w:themeFill="background1" w:themeFillShade="BF"/>
          </w:tcPr>
          <w:p w14:paraId="15B4B674" w14:textId="77777777" w:rsidR="00EA567C" w:rsidRDefault="00786B2D">
            <w:pPr>
              <w:spacing w:after="0"/>
              <w:jc w:val="center"/>
              <w:rPr>
                <w:b/>
                <w:bCs/>
              </w:rPr>
            </w:pPr>
            <w:r>
              <w:rPr>
                <w:b/>
                <w:bCs/>
              </w:rPr>
              <w:t xml:space="preserve">Q.1) to Q.6) with responses </w:t>
            </w:r>
            <w:r w:rsidRPr="00AE79EF">
              <w:rPr>
                <w:b/>
                <w:highlight w:val="yellow"/>
                <w:u w:val="single"/>
              </w:rPr>
              <w:t>not</w:t>
            </w:r>
            <w:r>
              <w:rPr>
                <w:b/>
                <w:bCs/>
              </w:rPr>
              <w:t xml:space="preserve"> applicable to DCCH </w:t>
            </w:r>
          </w:p>
        </w:tc>
        <w:tc>
          <w:tcPr>
            <w:tcW w:w="5305" w:type="dxa"/>
            <w:shd w:val="clear" w:color="auto" w:fill="BFBFBF" w:themeFill="background1" w:themeFillShade="BF"/>
          </w:tcPr>
          <w:p w14:paraId="15B4B675" w14:textId="77777777" w:rsidR="00EA567C" w:rsidRDefault="00786B2D">
            <w:pPr>
              <w:spacing w:after="0"/>
              <w:jc w:val="center"/>
              <w:rPr>
                <w:b/>
                <w:bCs/>
              </w:rPr>
            </w:pPr>
            <w:r>
              <w:rPr>
                <w:b/>
                <w:bCs/>
              </w:rPr>
              <w:t>Justification on the different behaviour/operation for the specific question with DCCH-based approach</w:t>
            </w:r>
          </w:p>
        </w:tc>
      </w:tr>
      <w:tr w:rsidR="00EA567C" w14:paraId="15B4B67A" w14:textId="77777777">
        <w:tc>
          <w:tcPr>
            <w:tcW w:w="1345" w:type="dxa"/>
          </w:tcPr>
          <w:p w14:paraId="15B4B677" w14:textId="77777777" w:rsidR="00EA567C" w:rsidRDefault="00786B2D">
            <w:pPr>
              <w:spacing w:after="0"/>
            </w:pPr>
            <w:r>
              <w:t>Huawei, HiSilicon</w:t>
            </w:r>
          </w:p>
        </w:tc>
        <w:tc>
          <w:tcPr>
            <w:tcW w:w="2700" w:type="dxa"/>
          </w:tcPr>
          <w:p w14:paraId="15B4B678" w14:textId="77777777" w:rsidR="00EA567C" w:rsidRDefault="00EA567C">
            <w:pPr>
              <w:spacing w:after="0"/>
            </w:pPr>
          </w:p>
        </w:tc>
        <w:tc>
          <w:tcPr>
            <w:tcW w:w="5305" w:type="dxa"/>
          </w:tcPr>
          <w:p w14:paraId="15B4B679" w14:textId="77777777" w:rsidR="00EA567C" w:rsidRDefault="00786B2D">
            <w:pPr>
              <w:spacing w:after="0"/>
            </w:pPr>
            <w:r>
              <w:t xml:space="preserve">Our replies to Q.1-Q.6 may apply for this approach. </w:t>
            </w:r>
          </w:p>
        </w:tc>
      </w:tr>
      <w:tr w:rsidR="00EA567C" w14:paraId="15B4B67E" w14:textId="77777777">
        <w:trPr>
          <w:trHeight w:val="43"/>
        </w:trPr>
        <w:tc>
          <w:tcPr>
            <w:tcW w:w="1345" w:type="dxa"/>
          </w:tcPr>
          <w:p w14:paraId="15B4B67B" w14:textId="77777777" w:rsidR="00EA567C" w:rsidRDefault="00786B2D">
            <w:pPr>
              <w:spacing w:after="0"/>
            </w:pPr>
            <w:r>
              <w:t>ZTE</w:t>
            </w:r>
          </w:p>
        </w:tc>
        <w:tc>
          <w:tcPr>
            <w:tcW w:w="2700" w:type="dxa"/>
          </w:tcPr>
          <w:p w14:paraId="15B4B67C" w14:textId="77777777" w:rsidR="00EA567C" w:rsidRDefault="00EA567C">
            <w:pPr>
              <w:spacing w:after="0"/>
            </w:pPr>
          </w:p>
        </w:tc>
        <w:tc>
          <w:tcPr>
            <w:tcW w:w="5305" w:type="dxa"/>
          </w:tcPr>
          <w:p w14:paraId="15B4B67D" w14:textId="77777777" w:rsidR="00EA567C" w:rsidRDefault="00786B2D">
            <w:pPr>
              <w:spacing w:after="0"/>
            </w:pPr>
            <w:r>
              <w:t xml:space="preserve">yes, our replies Q 1-6 apply here too. </w:t>
            </w:r>
          </w:p>
        </w:tc>
      </w:tr>
      <w:tr w:rsidR="00EA567C" w14:paraId="15B4B682" w14:textId="77777777">
        <w:tc>
          <w:tcPr>
            <w:tcW w:w="1345" w:type="dxa"/>
          </w:tcPr>
          <w:p w14:paraId="15B4B67F" w14:textId="77777777" w:rsidR="00EA567C" w:rsidRDefault="00786B2D">
            <w:pPr>
              <w:spacing w:after="0"/>
            </w:pPr>
            <w:r>
              <w:t>InterDigital</w:t>
            </w:r>
          </w:p>
        </w:tc>
        <w:tc>
          <w:tcPr>
            <w:tcW w:w="2700" w:type="dxa"/>
          </w:tcPr>
          <w:p w14:paraId="15B4B680" w14:textId="77777777" w:rsidR="00EA567C" w:rsidRDefault="00786B2D">
            <w:pPr>
              <w:spacing w:after="0"/>
            </w:pPr>
            <w:r>
              <w:t>-</w:t>
            </w:r>
          </w:p>
        </w:tc>
        <w:tc>
          <w:tcPr>
            <w:tcW w:w="5305" w:type="dxa"/>
          </w:tcPr>
          <w:p w14:paraId="15B4B681" w14:textId="77777777" w:rsidR="00EA567C" w:rsidRDefault="00786B2D">
            <w:pPr>
              <w:spacing w:after="0"/>
            </w:pPr>
            <w:r>
              <w:t>Our replies for Q.1-6 apply for the DCCH-based approach too.</w:t>
            </w:r>
          </w:p>
        </w:tc>
      </w:tr>
      <w:tr w:rsidR="00EA567C" w14:paraId="15B4B687" w14:textId="77777777">
        <w:tc>
          <w:tcPr>
            <w:tcW w:w="1345" w:type="dxa"/>
          </w:tcPr>
          <w:p w14:paraId="15B4B683" w14:textId="77777777" w:rsidR="00EA567C" w:rsidRDefault="00786B2D">
            <w:pPr>
              <w:spacing w:after="0"/>
            </w:pPr>
            <w:r>
              <w:t>CATT</w:t>
            </w:r>
          </w:p>
        </w:tc>
        <w:tc>
          <w:tcPr>
            <w:tcW w:w="2700" w:type="dxa"/>
          </w:tcPr>
          <w:p w14:paraId="15B4B684" w14:textId="77777777" w:rsidR="00EA567C" w:rsidRDefault="00EA567C">
            <w:pPr>
              <w:spacing w:after="0"/>
            </w:pPr>
          </w:p>
        </w:tc>
        <w:tc>
          <w:tcPr>
            <w:tcW w:w="5305" w:type="dxa"/>
          </w:tcPr>
          <w:p w14:paraId="15B4B685" w14:textId="77777777" w:rsidR="00EA567C" w:rsidRDefault="00786B2D">
            <w:pPr>
              <w:spacing w:after="0"/>
            </w:pPr>
            <w:r>
              <w:t>How to switch from SDT to CONNECTED during an ongoing SDT session without UE AS context relocation is a common issue for both CCH and DCCH approaches.</w:t>
            </w:r>
          </w:p>
          <w:p w14:paraId="15B4B686" w14:textId="77777777" w:rsidR="00EA567C" w:rsidRDefault="00786B2D">
            <w:pPr>
              <w:spacing w:after="0"/>
            </w:pPr>
            <w:r>
              <w:t xml:space="preserve">Even with CCCH-based approach, if DL non-SDT RBs are available, the network needs to initiate the switching from SDT </w:t>
            </w:r>
            <w:r>
              <w:lastRenderedPageBreak/>
              <w:t>to CONNECTED during on-going SDT session without UE AS context relocation too.</w:t>
            </w:r>
          </w:p>
        </w:tc>
      </w:tr>
      <w:tr w:rsidR="00EA567C" w14:paraId="15B4B68B" w14:textId="77777777">
        <w:tc>
          <w:tcPr>
            <w:tcW w:w="1345" w:type="dxa"/>
          </w:tcPr>
          <w:p w14:paraId="15B4B688" w14:textId="77777777" w:rsidR="00EA567C" w:rsidRDefault="00786B2D">
            <w:pPr>
              <w:spacing w:after="0"/>
            </w:pPr>
            <w:r>
              <w:rPr>
                <w:rFonts w:eastAsiaTheme="minorEastAsia" w:hint="eastAsia"/>
              </w:rPr>
              <w:lastRenderedPageBreak/>
              <w:t>Fujitsu</w:t>
            </w:r>
          </w:p>
        </w:tc>
        <w:tc>
          <w:tcPr>
            <w:tcW w:w="2700" w:type="dxa"/>
          </w:tcPr>
          <w:p w14:paraId="15B4B689" w14:textId="77777777" w:rsidR="00EA567C" w:rsidRDefault="00EA567C">
            <w:pPr>
              <w:spacing w:after="0"/>
            </w:pPr>
          </w:p>
        </w:tc>
        <w:tc>
          <w:tcPr>
            <w:tcW w:w="5305" w:type="dxa"/>
          </w:tcPr>
          <w:p w14:paraId="15B4B68A" w14:textId="77777777" w:rsidR="00EA567C" w:rsidRDefault="00786B2D">
            <w:pPr>
              <w:spacing w:after="0"/>
            </w:pPr>
            <w:r>
              <w:t>Our replies to Q.1-Q.6 apply for this approach.</w:t>
            </w:r>
          </w:p>
        </w:tc>
      </w:tr>
      <w:tr w:rsidR="00EA567C" w14:paraId="15B4B68F" w14:textId="77777777">
        <w:tc>
          <w:tcPr>
            <w:tcW w:w="1345" w:type="dxa"/>
          </w:tcPr>
          <w:p w14:paraId="15B4B68C" w14:textId="77777777" w:rsidR="00EA567C" w:rsidRDefault="00786B2D">
            <w:pPr>
              <w:spacing w:after="0"/>
              <w:rPr>
                <w:rFonts w:eastAsia="Malgun Gothic"/>
                <w:lang w:eastAsia="ko-KR"/>
              </w:rPr>
            </w:pPr>
            <w:r>
              <w:rPr>
                <w:rFonts w:eastAsia="Malgun Gothic" w:hint="eastAsia"/>
                <w:lang w:eastAsia="ko-KR"/>
              </w:rPr>
              <w:t>LG</w:t>
            </w:r>
          </w:p>
        </w:tc>
        <w:tc>
          <w:tcPr>
            <w:tcW w:w="2700" w:type="dxa"/>
          </w:tcPr>
          <w:p w14:paraId="15B4B68D" w14:textId="77777777" w:rsidR="00EA567C" w:rsidRDefault="00786B2D">
            <w:pPr>
              <w:spacing w:after="0"/>
            </w:pPr>
            <w:r>
              <w:rPr>
                <w:rFonts w:eastAsia="Malgun Gothic" w:hint="eastAsia"/>
                <w:lang w:eastAsia="ko-KR"/>
              </w:rPr>
              <w:t xml:space="preserve">We are not sure what </w:t>
            </w:r>
            <w:r>
              <w:rPr>
                <w:rFonts w:eastAsia="Malgun Gothic"/>
                <w:lang w:eastAsia="ko-KR"/>
              </w:rPr>
              <w:t>this question really asks. Specific issue should be discussed case-by-case.</w:t>
            </w:r>
          </w:p>
        </w:tc>
        <w:tc>
          <w:tcPr>
            <w:tcW w:w="5305" w:type="dxa"/>
          </w:tcPr>
          <w:p w14:paraId="15B4B68E" w14:textId="77777777" w:rsidR="00EA567C" w:rsidRDefault="00EA567C">
            <w:pPr>
              <w:spacing w:after="0"/>
            </w:pPr>
          </w:p>
        </w:tc>
      </w:tr>
      <w:tr w:rsidR="000C5235" w14:paraId="01D1A266" w14:textId="77777777">
        <w:tc>
          <w:tcPr>
            <w:tcW w:w="1345" w:type="dxa"/>
          </w:tcPr>
          <w:p w14:paraId="48742F74" w14:textId="62F633E5" w:rsidR="000C5235" w:rsidRDefault="000C5235" w:rsidP="000C5235">
            <w:pPr>
              <w:spacing w:after="0"/>
              <w:rPr>
                <w:rFonts w:eastAsia="Malgun Gothic"/>
                <w:lang w:eastAsia="ko-KR"/>
              </w:rPr>
            </w:pPr>
            <w:r>
              <w:t>Intel</w:t>
            </w:r>
          </w:p>
        </w:tc>
        <w:tc>
          <w:tcPr>
            <w:tcW w:w="2700" w:type="dxa"/>
          </w:tcPr>
          <w:p w14:paraId="2C4D5D11" w14:textId="77777777" w:rsidR="000C5235" w:rsidRDefault="000C5235" w:rsidP="000C5235">
            <w:pPr>
              <w:spacing w:after="0"/>
              <w:rPr>
                <w:rFonts w:eastAsia="Malgun Gothic"/>
                <w:lang w:eastAsia="ko-KR"/>
              </w:rPr>
            </w:pPr>
          </w:p>
        </w:tc>
        <w:tc>
          <w:tcPr>
            <w:tcW w:w="5305" w:type="dxa"/>
          </w:tcPr>
          <w:p w14:paraId="2EF82C8B" w14:textId="1A31C391" w:rsidR="000C5235" w:rsidRDefault="000C5235" w:rsidP="000C5235">
            <w:pPr>
              <w:spacing w:after="0"/>
            </w:pPr>
            <w:r>
              <w:t>Yes, we also understand that Q.1-Q.6 seems applicable when switching from SDT to non-SDT (i.e. CONNECTED) via DCCH-based approach</w:t>
            </w:r>
          </w:p>
        </w:tc>
      </w:tr>
      <w:tr w:rsidR="00D56910" w14:paraId="1714C4FF" w14:textId="77777777">
        <w:tc>
          <w:tcPr>
            <w:tcW w:w="1345" w:type="dxa"/>
          </w:tcPr>
          <w:p w14:paraId="0F055E12" w14:textId="74FB5B44" w:rsidR="00D56910" w:rsidRDefault="00D56910" w:rsidP="00D56910">
            <w:pPr>
              <w:spacing w:after="0"/>
            </w:pPr>
            <w:r>
              <w:rPr>
                <w:rFonts w:hint="eastAsia"/>
                <w:lang w:eastAsia="zh-CN"/>
              </w:rPr>
              <w:t>N</w:t>
            </w:r>
            <w:r>
              <w:rPr>
                <w:lang w:eastAsia="zh-CN"/>
              </w:rPr>
              <w:t>EC</w:t>
            </w:r>
          </w:p>
        </w:tc>
        <w:tc>
          <w:tcPr>
            <w:tcW w:w="2700" w:type="dxa"/>
          </w:tcPr>
          <w:p w14:paraId="5BF681C0" w14:textId="77777777" w:rsidR="00D56910" w:rsidRDefault="00D56910" w:rsidP="00D56910">
            <w:pPr>
              <w:spacing w:after="0"/>
              <w:rPr>
                <w:rFonts w:eastAsia="Malgun Gothic"/>
                <w:lang w:eastAsia="ko-KR"/>
              </w:rPr>
            </w:pPr>
          </w:p>
        </w:tc>
        <w:tc>
          <w:tcPr>
            <w:tcW w:w="5305" w:type="dxa"/>
          </w:tcPr>
          <w:p w14:paraId="1ADC78D8" w14:textId="69E938A3" w:rsidR="00D56910" w:rsidRDefault="00D56910" w:rsidP="00D56910">
            <w:pPr>
              <w:spacing w:after="0"/>
            </w:pPr>
            <w:r>
              <w:t>Our replies Q 1-6 apply here too.</w:t>
            </w:r>
          </w:p>
        </w:tc>
      </w:tr>
    </w:tbl>
    <w:p w14:paraId="15B4B690" w14:textId="77777777" w:rsidR="00EA567C" w:rsidRDefault="00EA567C">
      <w:pPr>
        <w:spacing w:after="120"/>
        <w:jc w:val="both"/>
      </w:pPr>
    </w:p>
    <w:bookmarkStart w:id="123" w:name="_Ref75224202"/>
    <w:p w14:paraId="15B4B691" w14:textId="77777777" w:rsidR="00EA567C" w:rsidRDefault="00786B2D">
      <w:pPr>
        <w:pStyle w:val="4"/>
        <w:rPr>
          <w:color w:val="0000CC"/>
        </w:rPr>
      </w:pPr>
      <w:r>
        <w:rPr>
          <w:color w:val="0000CC"/>
          <w:lang w:val="en-GB"/>
        </w:rPr>
        <w:fldChar w:fldCharType="begin"/>
      </w:r>
      <w:r>
        <w:rPr>
          <w:color w:val="0000CC"/>
          <w:lang w:val="en-GB"/>
        </w:rPr>
        <w:instrText xml:space="preserve"> REF _Ref75224054 \r \h </w:instrText>
      </w:r>
      <w:r>
        <w:rPr>
          <w:color w:val="0000CC"/>
          <w:lang w:val="en-GB"/>
        </w:rPr>
      </w:r>
      <w:r>
        <w:rPr>
          <w:color w:val="0000CC"/>
          <w:lang w:val="en-GB"/>
        </w:rPr>
        <w:fldChar w:fldCharType="separate"/>
      </w:r>
      <w:r>
        <w:rPr>
          <w:color w:val="0000CC"/>
          <w:lang w:val="en-GB"/>
        </w:rPr>
        <w:t>Q.21)</w:t>
      </w:r>
      <w:r>
        <w:rPr>
          <w:color w:val="0000CC"/>
          <w:lang w:val="en-GB"/>
        </w:rPr>
        <w:fldChar w:fldCharType="end"/>
      </w:r>
      <w:r>
        <w:rPr>
          <w:color w:val="0000CC"/>
          <w:lang w:val="en-GB"/>
        </w:rPr>
        <w:t xml:space="preserve"> </w:t>
      </w:r>
      <w:r>
        <w:rPr>
          <w:color w:val="0000CC"/>
          <w:lang w:val="en-US"/>
        </w:rPr>
        <w:t>for 2</w:t>
      </w:r>
      <w:r>
        <w:rPr>
          <w:color w:val="0000CC"/>
          <w:vertAlign w:val="superscript"/>
          <w:lang w:val="en-US"/>
        </w:rPr>
        <w:t>nd</w:t>
      </w:r>
      <w:r>
        <w:rPr>
          <w:color w:val="0000CC"/>
          <w:lang w:val="en-US"/>
        </w:rPr>
        <w:t xml:space="preserve"> </w:t>
      </w:r>
      <w:r>
        <w:rPr>
          <w:color w:val="0000CC"/>
        </w:rPr>
        <w:t>Phase</w:t>
      </w:r>
      <w:bookmarkEnd w:id="123"/>
    </w:p>
    <w:p w14:paraId="15B4B692"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_Ref75224054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Q.21)</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the responses provided during the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15B4B693" w14:textId="77777777" w:rsidR="00EA567C" w:rsidRDefault="00786B2D">
      <w:pPr>
        <w:pStyle w:val="a9"/>
        <w:numPr>
          <w:ilvl w:val="0"/>
          <w:numId w:val="30"/>
        </w:numPr>
        <w:overflowPunct/>
        <w:autoSpaceDE/>
        <w:autoSpaceDN/>
        <w:adjustRightInd/>
        <w:spacing w:after="120" w:line="259" w:lineRule="auto"/>
        <w:contextualSpacing w:val="0"/>
        <w:jc w:val="both"/>
      </w:pPr>
      <w:bookmarkStart w:id="124" w:name="_Ref75224054"/>
      <w:r>
        <w:rPr>
          <w:color w:val="0000CC"/>
        </w:rPr>
        <w:t>What is the expected UE behaviour after UE sends DCCH message during an ongoing SDT session? consider the following options.</w:t>
      </w:r>
      <w:bookmarkEnd w:id="124"/>
      <w:r>
        <w:rPr>
          <w:color w:val="0000CC"/>
        </w:rPr>
        <w:t xml:space="preserve"> </w:t>
      </w:r>
    </w:p>
    <w:p w14:paraId="15B4B694" w14:textId="77777777" w:rsidR="00EA567C" w:rsidRDefault="00786B2D">
      <w:pPr>
        <w:pStyle w:val="a9"/>
        <w:numPr>
          <w:ilvl w:val="0"/>
          <w:numId w:val="37"/>
        </w:numPr>
        <w:spacing w:after="60"/>
        <w:ind w:left="763"/>
        <w:contextualSpacing w:val="0"/>
        <w:jc w:val="both"/>
        <w:rPr>
          <w:color w:val="0000CC"/>
        </w:rPr>
      </w:pPr>
      <w:r>
        <w:rPr>
          <w:color w:val="0000CC"/>
        </w:rPr>
        <w:t>UE continues with the SDT session ongoing until network informs otherwise to UE by transitioning the UE into RRC_CONNECTED or releasing the UE into legacy RRC_INACTIVE or RRC_IDLE. UE does not expect receiving an explicit confirmation for the reception of the DCCH message.</w:t>
      </w:r>
    </w:p>
    <w:p w14:paraId="15B4B695" w14:textId="77777777" w:rsidR="00EA567C" w:rsidRDefault="00786B2D">
      <w:pPr>
        <w:pStyle w:val="a9"/>
        <w:numPr>
          <w:ilvl w:val="0"/>
          <w:numId w:val="37"/>
        </w:numPr>
        <w:spacing w:after="60"/>
        <w:ind w:left="763"/>
        <w:contextualSpacing w:val="0"/>
        <w:jc w:val="both"/>
      </w:pPr>
      <w:r>
        <w:rPr>
          <w:color w:val="0000CC"/>
        </w:rPr>
        <w:t>UE expects receiving a confirmation of reception of the DCCH message. If so, clarify the details of this confirmation and the expected UE behaviour when not received.</w:t>
      </w:r>
    </w:p>
    <w:p w14:paraId="15B4B696" w14:textId="77777777" w:rsidR="00EA567C" w:rsidRDefault="00786B2D">
      <w:pPr>
        <w:pStyle w:val="a9"/>
        <w:numPr>
          <w:ilvl w:val="0"/>
          <w:numId w:val="37"/>
        </w:numPr>
        <w:spacing w:after="120"/>
        <w:ind w:left="763"/>
        <w:contextualSpacing w:val="0"/>
        <w:jc w:val="both"/>
      </w:pPr>
      <w:r>
        <w:rPr>
          <w:color w:val="0000CC"/>
        </w:rPr>
        <w:t>Other options.</w:t>
      </w:r>
    </w:p>
    <w:tbl>
      <w:tblPr>
        <w:tblStyle w:val="ab"/>
        <w:tblW w:w="0" w:type="auto"/>
        <w:tblLook w:val="04A0" w:firstRow="1" w:lastRow="0" w:firstColumn="1" w:lastColumn="0" w:noHBand="0" w:noVBand="1"/>
      </w:tblPr>
      <w:tblGrid>
        <w:gridCol w:w="1975"/>
        <w:gridCol w:w="1170"/>
        <w:gridCol w:w="6205"/>
      </w:tblGrid>
      <w:tr w:rsidR="00EA567C" w14:paraId="15B4B69A" w14:textId="77777777">
        <w:tc>
          <w:tcPr>
            <w:tcW w:w="1975" w:type="dxa"/>
            <w:shd w:val="clear" w:color="auto" w:fill="BFBFBF" w:themeFill="background1" w:themeFillShade="BF"/>
          </w:tcPr>
          <w:p w14:paraId="15B4B697"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698" w14:textId="77777777" w:rsidR="00EA567C" w:rsidRDefault="00786B2D">
            <w:pPr>
              <w:spacing w:after="0"/>
              <w:jc w:val="center"/>
              <w:rPr>
                <w:b/>
                <w:bCs/>
              </w:rPr>
            </w:pPr>
            <w:r>
              <w:rPr>
                <w:b/>
                <w:bCs/>
              </w:rPr>
              <w:t>Option</w:t>
            </w:r>
          </w:p>
        </w:tc>
        <w:tc>
          <w:tcPr>
            <w:tcW w:w="6205" w:type="dxa"/>
            <w:shd w:val="clear" w:color="auto" w:fill="BFBFBF" w:themeFill="background1" w:themeFillShade="BF"/>
          </w:tcPr>
          <w:p w14:paraId="15B4B699" w14:textId="77777777" w:rsidR="00EA567C" w:rsidRDefault="00786B2D">
            <w:pPr>
              <w:spacing w:after="0"/>
              <w:jc w:val="center"/>
              <w:rPr>
                <w:b/>
                <w:bCs/>
              </w:rPr>
            </w:pPr>
            <w:r>
              <w:rPr>
                <w:b/>
                <w:bCs/>
              </w:rPr>
              <w:t>Justification</w:t>
            </w:r>
          </w:p>
        </w:tc>
      </w:tr>
      <w:tr w:rsidR="00EA567C" w14:paraId="15B4B69E" w14:textId="77777777">
        <w:tc>
          <w:tcPr>
            <w:tcW w:w="1975" w:type="dxa"/>
          </w:tcPr>
          <w:p w14:paraId="15B4B69B" w14:textId="77777777" w:rsidR="00EA567C" w:rsidRDefault="00786B2D">
            <w:pPr>
              <w:spacing w:after="0"/>
            </w:pPr>
            <w:r>
              <w:t>Huawei, HiSilicon</w:t>
            </w:r>
          </w:p>
        </w:tc>
        <w:tc>
          <w:tcPr>
            <w:tcW w:w="1170" w:type="dxa"/>
          </w:tcPr>
          <w:p w14:paraId="15B4B69C" w14:textId="77777777" w:rsidR="00EA567C" w:rsidRDefault="00786B2D">
            <w:pPr>
              <w:spacing w:after="0"/>
            </w:pPr>
            <w:r>
              <w:t>Option 16.2</w:t>
            </w:r>
          </w:p>
        </w:tc>
        <w:tc>
          <w:tcPr>
            <w:tcW w:w="6205" w:type="dxa"/>
          </w:tcPr>
          <w:p w14:paraId="15B4B69D" w14:textId="77777777" w:rsidR="00EA567C" w:rsidRDefault="00786B2D">
            <w:pPr>
              <w:spacing w:after="0"/>
            </w:pPr>
            <w:r>
              <w:t>Option 16.1 is not acceptable in our opinion. The newly arrived data can be related to latency sensitive applications, e.g. emergency call, and the UE cannot just wait for the SDT procedure to end in case DCCH message was not received by the network. The safest approach would be for the UE to fallback to legacy RRC Resume procedure in case the network does not reply with RRCResume within a certain time (this is why we believe CCCH-based solution makes more sense from the beginning). Alternative could be to move the UE to RRC IDLE, but this would further delay the connection establishment.</w:t>
            </w:r>
          </w:p>
        </w:tc>
      </w:tr>
      <w:tr w:rsidR="00EA567C" w14:paraId="15B4B6A6" w14:textId="77777777">
        <w:trPr>
          <w:trHeight w:val="43"/>
        </w:trPr>
        <w:tc>
          <w:tcPr>
            <w:tcW w:w="1975" w:type="dxa"/>
          </w:tcPr>
          <w:p w14:paraId="15B4B69F" w14:textId="77777777" w:rsidR="00EA567C" w:rsidRDefault="00786B2D">
            <w:pPr>
              <w:spacing w:after="0"/>
            </w:pPr>
            <w:r>
              <w:t>ZTE</w:t>
            </w:r>
          </w:p>
        </w:tc>
        <w:tc>
          <w:tcPr>
            <w:tcW w:w="1170" w:type="dxa"/>
          </w:tcPr>
          <w:p w14:paraId="15B4B6A0" w14:textId="77777777" w:rsidR="00EA567C" w:rsidRDefault="00786B2D">
            <w:pPr>
              <w:spacing w:after="0"/>
            </w:pPr>
            <w:r>
              <w:t>16.1 or 16.2</w:t>
            </w:r>
          </w:p>
        </w:tc>
        <w:tc>
          <w:tcPr>
            <w:tcW w:w="6205" w:type="dxa"/>
          </w:tcPr>
          <w:p w14:paraId="15B4B6A1" w14:textId="77777777" w:rsidR="00EA567C" w:rsidRDefault="00786B2D">
            <w:pPr>
              <w:spacing w:after="0"/>
            </w:pPr>
            <w:r>
              <w:t>We are not sure if 16.1 and 16.2 are mutually exclusive. Our understanding is also that a network response is needed, but the response will be RRCResume message in DL.</w:t>
            </w:r>
          </w:p>
          <w:p w14:paraId="15B4B6A2" w14:textId="77777777" w:rsidR="00EA567C" w:rsidRDefault="00786B2D">
            <w:pPr>
              <w:spacing w:after="0"/>
            </w:pPr>
            <w:r>
              <w:t xml:space="preserve">With regards to latency of DCCH approach, we don’t think this is any worse than CCCH. There are two cases: </w:t>
            </w:r>
          </w:p>
          <w:p w14:paraId="15B4B6A3" w14:textId="77777777" w:rsidR="00EA567C" w:rsidRDefault="00786B2D">
            <w:pPr>
              <w:pStyle w:val="a9"/>
              <w:numPr>
                <w:ilvl w:val="0"/>
                <w:numId w:val="27"/>
              </w:numPr>
              <w:spacing w:after="0"/>
            </w:pPr>
            <w:r>
              <w:rPr>
                <w:u w:val="single"/>
              </w:rPr>
              <w:t>Case1: If there is UL grant available</w:t>
            </w:r>
            <w:r>
              <w:t xml:space="preserve">, DCCH message eliminates the need for RACH and RAR (due the unnecessary RACH procedure needed in case of CCCH). Thus it is quicker than CCCH in this case. </w:t>
            </w:r>
          </w:p>
          <w:p w14:paraId="15B4B6A4" w14:textId="77777777" w:rsidR="00EA567C" w:rsidRDefault="00786B2D">
            <w:pPr>
              <w:pStyle w:val="a9"/>
              <w:numPr>
                <w:ilvl w:val="0"/>
                <w:numId w:val="27"/>
              </w:numPr>
              <w:spacing w:after="0"/>
            </w:pPr>
            <w:r>
              <w:rPr>
                <w:u w:val="single"/>
              </w:rPr>
              <w:t>Case 2: If there is no UL grant</w:t>
            </w:r>
            <w:r>
              <w:t>, both DCCH and CCCH approach will trigger RACH procedure and the MSG3 includes the request to move to RRC_CONNECTED state</w:t>
            </w:r>
          </w:p>
          <w:p w14:paraId="15B4B6A5" w14:textId="77777777" w:rsidR="00EA567C" w:rsidRDefault="00786B2D">
            <w:pPr>
              <w:spacing w:after="0"/>
            </w:pPr>
            <w:r>
              <w:t xml:space="preserve">So, in fact, the DCCH approach is at least as good as the CCCH based approach and is better in case there is UL grant to include the DCCH message.  </w:t>
            </w:r>
          </w:p>
        </w:tc>
      </w:tr>
      <w:tr w:rsidR="00EA567C" w14:paraId="15B4B6AA" w14:textId="77777777">
        <w:trPr>
          <w:trHeight w:val="43"/>
        </w:trPr>
        <w:tc>
          <w:tcPr>
            <w:tcW w:w="1975" w:type="dxa"/>
          </w:tcPr>
          <w:p w14:paraId="15B4B6A7" w14:textId="77777777" w:rsidR="00EA567C" w:rsidRDefault="00786B2D">
            <w:pPr>
              <w:spacing w:after="0"/>
            </w:pPr>
            <w:r>
              <w:lastRenderedPageBreak/>
              <w:t>InterDigital</w:t>
            </w:r>
          </w:p>
        </w:tc>
        <w:tc>
          <w:tcPr>
            <w:tcW w:w="1170" w:type="dxa"/>
          </w:tcPr>
          <w:p w14:paraId="15B4B6A8" w14:textId="77777777" w:rsidR="00EA567C" w:rsidRDefault="00786B2D">
            <w:pPr>
              <w:spacing w:after="0"/>
            </w:pPr>
            <w:r>
              <w:t>16.3</w:t>
            </w:r>
          </w:p>
        </w:tc>
        <w:tc>
          <w:tcPr>
            <w:tcW w:w="6205" w:type="dxa"/>
          </w:tcPr>
          <w:p w14:paraId="15B4B6A9" w14:textId="77777777" w:rsidR="00EA567C" w:rsidRDefault="00786B2D">
            <w:pPr>
              <w:spacing w:after="0"/>
            </w:pPr>
            <w:r>
              <w:t>UE should terminate the SDT operation upon data arrival from the non-SDT DRBs. If that’s agreeable, then we don’t need to worry about the UE behaviour of SDT session while in non-SDT session initiation.</w:t>
            </w:r>
          </w:p>
        </w:tc>
      </w:tr>
      <w:tr w:rsidR="00EA567C" w14:paraId="15B4B6AE" w14:textId="77777777">
        <w:tc>
          <w:tcPr>
            <w:tcW w:w="1975" w:type="dxa"/>
          </w:tcPr>
          <w:p w14:paraId="15B4B6AB" w14:textId="77777777" w:rsidR="00EA567C" w:rsidRDefault="00786B2D">
            <w:pPr>
              <w:spacing w:after="0"/>
            </w:pPr>
            <w:r>
              <w:t>CATT</w:t>
            </w:r>
          </w:p>
        </w:tc>
        <w:tc>
          <w:tcPr>
            <w:tcW w:w="1170" w:type="dxa"/>
          </w:tcPr>
          <w:p w14:paraId="15B4B6AC" w14:textId="77777777" w:rsidR="00EA567C" w:rsidRDefault="00786B2D">
            <w:pPr>
              <w:spacing w:after="0"/>
            </w:pPr>
            <w:r>
              <w:t>16.1</w:t>
            </w:r>
          </w:p>
        </w:tc>
        <w:tc>
          <w:tcPr>
            <w:tcW w:w="6205" w:type="dxa"/>
          </w:tcPr>
          <w:p w14:paraId="15B4B6AD" w14:textId="77777777" w:rsidR="00EA567C" w:rsidRDefault="00786B2D">
            <w:pPr>
              <w:spacing w:after="0"/>
            </w:pPr>
            <w:r>
              <w:t>Compared with MAC CE solution, DCCH message has more reliability with AM mode. If the UE cannot send the DCCH message to the network successfully, the RRC layer in the UE will receive a failure indicator from RLC.</w:t>
            </w:r>
          </w:p>
        </w:tc>
      </w:tr>
      <w:tr w:rsidR="00EA567C" w14:paraId="15B4B6B2" w14:textId="77777777">
        <w:tc>
          <w:tcPr>
            <w:tcW w:w="1975" w:type="dxa"/>
          </w:tcPr>
          <w:p w14:paraId="15B4B6AF" w14:textId="77777777" w:rsidR="00EA567C" w:rsidRDefault="00786B2D">
            <w:pPr>
              <w:spacing w:after="0"/>
            </w:pPr>
            <w:r>
              <w:rPr>
                <w:rFonts w:eastAsiaTheme="minorEastAsia" w:hint="eastAsia"/>
              </w:rPr>
              <w:t>Samsung</w:t>
            </w:r>
          </w:p>
        </w:tc>
        <w:tc>
          <w:tcPr>
            <w:tcW w:w="1170" w:type="dxa"/>
          </w:tcPr>
          <w:p w14:paraId="15B4B6B0" w14:textId="77777777" w:rsidR="00EA567C" w:rsidRDefault="00786B2D">
            <w:pPr>
              <w:spacing w:after="0"/>
            </w:pPr>
            <w:r>
              <w:rPr>
                <w:rFonts w:eastAsiaTheme="minorEastAsia" w:hint="eastAsia"/>
              </w:rPr>
              <w:t>16.1, 16.2</w:t>
            </w:r>
          </w:p>
        </w:tc>
        <w:tc>
          <w:tcPr>
            <w:tcW w:w="6205" w:type="dxa"/>
          </w:tcPr>
          <w:p w14:paraId="15B4B6B1" w14:textId="77777777" w:rsidR="00EA567C" w:rsidRDefault="00786B2D">
            <w:pPr>
              <w:spacing w:after="0"/>
            </w:pPr>
            <w:r>
              <w:rPr>
                <w:rFonts w:eastAsiaTheme="minorEastAsia" w:hint="eastAsia"/>
              </w:rPr>
              <w:t>Same view as ZTE</w:t>
            </w:r>
          </w:p>
        </w:tc>
      </w:tr>
      <w:tr w:rsidR="00EA567C" w14:paraId="15B4B6B6" w14:textId="77777777">
        <w:tc>
          <w:tcPr>
            <w:tcW w:w="1975" w:type="dxa"/>
          </w:tcPr>
          <w:p w14:paraId="15B4B6B3" w14:textId="77777777" w:rsidR="00EA567C" w:rsidRDefault="00786B2D">
            <w:pPr>
              <w:spacing w:after="0"/>
              <w:rPr>
                <w:rFonts w:eastAsiaTheme="minorEastAsia"/>
              </w:rPr>
            </w:pPr>
            <w:r>
              <w:rPr>
                <w:rFonts w:eastAsiaTheme="minorEastAsia" w:hint="eastAsia"/>
              </w:rPr>
              <w:t>Fujitsu</w:t>
            </w:r>
          </w:p>
        </w:tc>
        <w:tc>
          <w:tcPr>
            <w:tcW w:w="1170" w:type="dxa"/>
          </w:tcPr>
          <w:p w14:paraId="15B4B6B4" w14:textId="77777777" w:rsidR="00EA567C" w:rsidRDefault="00786B2D">
            <w:pPr>
              <w:spacing w:after="0"/>
              <w:rPr>
                <w:rFonts w:eastAsiaTheme="minorEastAsia"/>
              </w:rPr>
            </w:pPr>
            <w:r>
              <w:rPr>
                <w:rFonts w:eastAsiaTheme="minorEastAsia" w:hint="eastAsia"/>
              </w:rPr>
              <w:t>16.1</w:t>
            </w:r>
            <w:r>
              <w:rPr>
                <w:rFonts w:eastAsiaTheme="minorEastAsia"/>
              </w:rPr>
              <w:t>)</w:t>
            </w:r>
          </w:p>
        </w:tc>
        <w:tc>
          <w:tcPr>
            <w:tcW w:w="6205" w:type="dxa"/>
          </w:tcPr>
          <w:p w14:paraId="15B4B6B5" w14:textId="77777777" w:rsidR="00EA567C" w:rsidRDefault="00786B2D">
            <w:pPr>
              <w:spacing w:after="0"/>
              <w:rPr>
                <w:rFonts w:eastAsiaTheme="minorEastAsia"/>
              </w:rPr>
            </w:pPr>
            <w:r>
              <w:rPr>
                <w:rFonts w:eastAsiaTheme="minorEastAsia"/>
              </w:rPr>
              <w:t>There seems no problem with carrying on the continuation of SDT after sending DCCH message. If the gNB doesn’t permit to receive SDT data, the gNB would just discard those SDT data.</w:t>
            </w:r>
          </w:p>
        </w:tc>
      </w:tr>
      <w:tr w:rsidR="00EA567C" w14:paraId="15B4B6BC" w14:textId="77777777">
        <w:tc>
          <w:tcPr>
            <w:tcW w:w="1975" w:type="dxa"/>
          </w:tcPr>
          <w:p w14:paraId="15B4B6B7"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6B8" w14:textId="77777777" w:rsidR="00EA567C" w:rsidRDefault="00786B2D">
            <w:pPr>
              <w:spacing w:after="0"/>
              <w:rPr>
                <w:rFonts w:eastAsia="Malgun Gothic"/>
                <w:lang w:eastAsia="ko-KR"/>
              </w:rPr>
            </w:pPr>
            <w:r>
              <w:rPr>
                <w:rFonts w:eastAsia="Malgun Gothic"/>
                <w:lang w:eastAsia="ko-KR"/>
              </w:rPr>
              <w:t>16.3</w:t>
            </w:r>
          </w:p>
        </w:tc>
        <w:tc>
          <w:tcPr>
            <w:tcW w:w="6205" w:type="dxa"/>
          </w:tcPr>
          <w:p w14:paraId="15B4B6B9" w14:textId="77777777" w:rsidR="00EA567C" w:rsidRDefault="00786B2D">
            <w:pPr>
              <w:spacing w:after="0"/>
              <w:rPr>
                <w:rFonts w:eastAsia="Malgun Gothic"/>
                <w:lang w:eastAsia="ko-KR"/>
              </w:rPr>
            </w:pPr>
            <w:r>
              <w:rPr>
                <w:rFonts w:eastAsia="Malgun Gothic" w:hint="eastAsia"/>
                <w:lang w:eastAsia="ko-KR"/>
              </w:rPr>
              <w:t>It has to be discussed first whether the UE can send DCCH message</w:t>
            </w:r>
            <w:r>
              <w:rPr>
                <w:rFonts w:eastAsia="Malgun Gothic"/>
                <w:lang w:eastAsia="ko-KR"/>
              </w:rPr>
              <w:t xml:space="preserve"> while SDT procedure is ongoing. Our view is that t</w:t>
            </w:r>
            <w:r>
              <w:rPr>
                <w:rFonts w:eastAsia="Malgun Gothic" w:hint="eastAsia"/>
                <w:lang w:eastAsia="ko-KR"/>
              </w:rPr>
              <w:t>he UE</w:t>
            </w:r>
            <w:r>
              <w:rPr>
                <w:rFonts w:eastAsia="Malgun Gothic"/>
                <w:lang w:eastAsia="ko-KR"/>
              </w:rPr>
              <w:t xml:space="preserve"> should terminate the ongoing SDT procedure and initiate a normal RRCResume procedure, as replied to Q7.</w:t>
            </w:r>
          </w:p>
          <w:p w14:paraId="15B4B6BA" w14:textId="77777777" w:rsidR="00EA567C" w:rsidRDefault="00EA567C">
            <w:pPr>
              <w:spacing w:after="0"/>
              <w:rPr>
                <w:rFonts w:eastAsia="Malgun Gothic"/>
                <w:lang w:eastAsia="ko-KR"/>
              </w:rPr>
            </w:pPr>
          </w:p>
          <w:p w14:paraId="15B4B6BB" w14:textId="77777777" w:rsidR="00EA567C" w:rsidRDefault="00786B2D">
            <w:pPr>
              <w:spacing w:after="0"/>
              <w:rPr>
                <w:rFonts w:eastAsia="Malgun Gothic"/>
                <w:lang w:eastAsia="ko-KR"/>
              </w:rPr>
            </w:pPr>
            <w:r>
              <w:rPr>
                <w:rFonts w:eastAsia="Malgun Gothic" w:hint="eastAsia"/>
                <w:lang w:eastAsia="ko-KR"/>
              </w:rPr>
              <w:t xml:space="preserve">If it is assumed that the UE can send DCCH message while SDT procedure is ongoing, </w:t>
            </w:r>
            <w:r>
              <w:rPr>
                <w:rFonts w:eastAsia="Malgun Gothic"/>
                <w:lang w:eastAsia="ko-KR"/>
              </w:rPr>
              <w:t>the UE then follows legacy behavior. That is, t</w:t>
            </w:r>
            <w:r>
              <w:rPr>
                <w:rFonts w:eastAsia="Malgun Gothic" w:hint="eastAsia"/>
                <w:lang w:eastAsia="ko-KR"/>
              </w:rPr>
              <w:t>he DCCH uses RLC AM</w:t>
            </w:r>
            <w:r>
              <w:rPr>
                <w:rFonts w:eastAsia="Malgun Gothic"/>
                <w:lang w:eastAsia="ko-KR"/>
              </w:rPr>
              <w:t>, and we can rely on RLC status report for DCCH reception confirmation. Until the network provides RRCResume, the UE can keep the ongoing SDT procedure.</w:t>
            </w:r>
          </w:p>
        </w:tc>
      </w:tr>
      <w:tr w:rsidR="000C5235" w14:paraId="4A2FD3AD" w14:textId="77777777">
        <w:tc>
          <w:tcPr>
            <w:tcW w:w="1975" w:type="dxa"/>
          </w:tcPr>
          <w:p w14:paraId="2B976F32" w14:textId="28FB2248" w:rsidR="000C5235" w:rsidRDefault="000C5235" w:rsidP="000C5235">
            <w:pPr>
              <w:spacing w:after="0"/>
              <w:rPr>
                <w:rFonts w:eastAsia="Malgun Gothic"/>
                <w:lang w:eastAsia="ko-KR"/>
              </w:rPr>
            </w:pPr>
            <w:r>
              <w:t>Intel</w:t>
            </w:r>
          </w:p>
        </w:tc>
        <w:tc>
          <w:tcPr>
            <w:tcW w:w="1170" w:type="dxa"/>
          </w:tcPr>
          <w:p w14:paraId="6B919C04" w14:textId="455EFB86" w:rsidR="000C5235" w:rsidRDefault="000C5235" w:rsidP="000C5235">
            <w:pPr>
              <w:spacing w:after="0"/>
              <w:rPr>
                <w:rFonts w:eastAsia="Malgun Gothic"/>
                <w:lang w:eastAsia="ko-KR"/>
              </w:rPr>
            </w:pPr>
            <w:r>
              <w:t>16.1)</w:t>
            </w:r>
          </w:p>
        </w:tc>
        <w:tc>
          <w:tcPr>
            <w:tcW w:w="6205" w:type="dxa"/>
          </w:tcPr>
          <w:p w14:paraId="4C1B30E6" w14:textId="67E41593" w:rsidR="000C5235" w:rsidRDefault="000C5235" w:rsidP="000C5235">
            <w:pPr>
              <w:spacing w:after="0"/>
              <w:rPr>
                <w:rFonts w:eastAsia="Malgun Gothic"/>
                <w:lang w:eastAsia="ko-KR"/>
              </w:rPr>
            </w:pPr>
            <w:r>
              <w:t>We agree that network should react to UE’s request of transitioning to RRC_CONNECTED due to non-SDT data, however final decision should be left up to network implementation as explained by option 16.2. Therefore, UE should continue with SDT while it waits for network instructions.</w:t>
            </w:r>
          </w:p>
        </w:tc>
      </w:tr>
      <w:tr w:rsidR="00D56910" w14:paraId="0C6D6698" w14:textId="77777777">
        <w:tc>
          <w:tcPr>
            <w:tcW w:w="1975" w:type="dxa"/>
          </w:tcPr>
          <w:p w14:paraId="525D9A70" w14:textId="79D5E80C" w:rsidR="00D56910" w:rsidRDefault="00D56910" w:rsidP="00D56910">
            <w:pPr>
              <w:spacing w:after="0"/>
            </w:pPr>
            <w:r>
              <w:rPr>
                <w:rFonts w:hint="eastAsia"/>
                <w:lang w:eastAsia="zh-CN"/>
              </w:rPr>
              <w:t>N</w:t>
            </w:r>
            <w:r>
              <w:rPr>
                <w:lang w:eastAsia="zh-CN"/>
              </w:rPr>
              <w:t>EC</w:t>
            </w:r>
          </w:p>
        </w:tc>
        <w:tc>
          <w:tcPr>
            <w:tcW w:w="1170" w:type="dxa"/>
          </w:tcPr>
          <w:p w14:paraId="6BFA9859" w14:textId="1E341C48" w:rsidR="00D56910" w:rsidRDefault="00D56910" w:rsidP="00D56910">
            <w:pPr>
              <w:spacing w:after="0"/>
            </w:pPr>
            <w:r>
              <w:t>16.2</w:t>
            </w:r>
          </w:p>
        </w:tc>
        <w:tc>
          <w:tcPr>
            <w:tcW w:w="6205" w:type="dxa"/>
          </w:tcPr>
          <w:p w14:paraId="07B38120" w14:textId="502DBCD0" w:rsidR="00D56910" w:rsidRDefault="00D56910" w:rsidP="00D56910">
            <w:pPr>
              <w:spacing w:after="0"/>
            </w:pPr>
            <w:r>
              <w:rPr>
                <w:lang w:eastAsia="zh-CN"/>
              </w:rPr>
              <w:t>If the UE sends DCCH to the network to indicate the arriving of non-SDT data, the network need to give a response to the UE in a timely manner.  We should align with existing principle as much as possible.</w:t>
            </w:r>
          </w:p>
        </w:tc>
      </w:tr>
    </w:tbl>
    <w:p w14:paraId="15B4B6BD" w14:textId="77777777" w:rsidR="00EA567C" w:rsidRDefault="00EA567C">
      <w:pPr>
        <w:jc w:val="both"/>
        <w:rPr>
          <w:rFonts w:ascii="Times New Roman" w:hAnsi="Times New Roman" w:cs="Times New Roman"/>
          <w:sz w:val="20"/>
          <w:szCs w:val="20"/>
          <w:lang w:eastAsia="x-none"/>
        </w:rPr>
      </w:pPr>
    </w:p>
    <w:p w14:paraId="15B4B6BE" w14:textId="77777777" w:rsidR="00EA567C" w:rsidRDefault="00EA567C">
      <w:pPr>
        <w:spacing w:after="120"/>
        <w:jc w:val="both"/>
      </w:pPr>
    </w:p>
    <w:p w14:paraId="15B4B6BF" w14:textId="77777777" w:rsidR="00EA567C" w:rsidRDefault="00786B2D">
      <w:pPr>
        <w:pStyle w:val="3"/>
      </w:pPr>
      <w:bookmarkStart w:id="125" w:name="_Ref75007984"/>
      <w:r>
        <w:t>[DCCH point (3)] release from SDT to INACTIVE</w:t>
      </w:r>
      <w:bookmarkEnd w:id="125"/>
    </w:p>
    <w:bookmarkStart w:id="126" w:name="_Hlk75225428"/>
    <w:p w14:paraId="15B4B6C0" w14:textId="77777777" w:rsidR="00EA567C" w:rsidRDefault="00786B2D">
      <w:pPr>
        <w:pStyle w:val="4"/>
        <w:rPr>
          <w:color w:val="0000CC"/>
        </w:rPr>
      </w:pPr>
      <w:r>
        <w:rPr>
          <w:color w:val="0000CC"/>
          <w:lang w:val="en-US"/>
        </w:rPr>
        <w:fldChar w:fldCharType="begin"/>
      </w:r>
      <w:r>
        <w:rPr>
          <w:color w:val="0000CC"/>
          <w:lang w:val="en-US"/>
        </w:rPr>
        <w:instrText xml:space="preserve"> REF _Ref75009485 \r \h </w:instrText>
      </w:r>
      <w:r>
        <w:rPr>
          <w:color w:val="0000CC"/>
          <w:lang w:val="en-US"/>
        </w:rPr>
      </w:r>
      <w:r>
        <w:rPr>
          <w:color w:val="0000CC"/>
          <w:lang w:val="en-US"/>
        </w:rPr>
        <w:fldChar w:fldCharType="separate"/>
      </w:r>
      <w:r>
        <w:rPr>
          <w:color w:val="0000CC"/>
          <w:lang w:val="en-US"/>
        </w:rPr>
        <w:t>Q.22)</w:t>
      </w:r>
      <w:r>
        <w:rPr>
          <w:color w:val="0000CC"/>
          <w:lang w:val="en-US"/>
        </w:rPr>
        <w:fldChar w:fldCharType="end"/>
      </w:r>
      <w:bookmarkEnd w:id="126"/>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6C1" w14:textId="77777777" w:rsidR="00EA567C" w:rsidRDefault="00786B2D">
      <w:pPr>
        <w:spacing w:after="120" w:line="257" w:lineRule="auto"/>
        <w:jc w:val="both"/>
        <w:rPr>
          <w:rFonts w:ascii="Times New Roman" w:hAnsi="Times New Roman" w:cs="Times New Roman"/>
          <w:color w:val="0000CC"/>
          <w:sz w:val="20"/>
          <w:szCs w:val="20"/>
        </w:rPr>
      </w:pPr>
      <w:r>
        <w:rPr>
          <w:rFonts w:ascii="Times New Roman" w:hAnsi="Times New Roman" w:cs="Times New Roman"/>
          <w:color w:val="0000CC"/>
          <w:sz w:val="20"/>
          <w:szCs w:val="20"/>
        </w:rPr>
        <w:t xml:space="preserve">This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_Ref75009485 \r \h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Q.22)</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is created based on the responses provided during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w:t>
      </w:r>
    </w:p>
    <w:p w14:paraId="15B4B6C2" w14:textId="77777777" w:rsidR="00EA567C" w:rsidRDefault="00786B2D">
      <w:pPr>
        <w:pStyle w:val="a9"/>
        <w:numPr>
          <w:ilvl w:val="0"/>
          <w:numId w:val="30"/>
        </w:numPr>
        <w:overflowPunct/>
        <w:autoSpaceDE/>
        <w:autoSpaceDN/>
        <w:adjustRightInd/>
        <w:spacing w:after="120" w:line="259" w:lineRule="auto"/>
        <w:contextualSpacing w:val="0"/>
        <w:jc w:val="both"/>
        <w:rPr>
          <w:color w:val="0000CC"/>
        </w:rPr>
      </w:pPr>
      <w:bookmarkStart w:id="127" w:name="_Ref75009485"/>
      <w:r>
        <w:rPr>
          <w:color w:val="0000CC"/>
        </w:rPr>
        <w:t>When UE generates DCCH message to inform that non-SDT data is available during an ongoing SDT session, what is the expected UE behaviour if the network releases the SDT session before the UE can send the generated DCCH message considering the following options?</w:t>
      </w:r>
      <w:bookmarkEnd w:id="127"/>
    </w:p>
    <w:p w14:paraId="15B4B6C3" w14:textId="77777777" w:rsidR="00EA567C" w:rsidRDefault="00786B2D">
      <w:pPr>
        <w:pStyle w:val="a9"/>
        <w:numPr>
          <w:ilvl w:val="0"/>
          <w:numId w:val="36"/>
        </w:numPr>
        <w:spacing w:before="120" w:after="60"/>
        <w:contextualSpacing w:val="0"/>
        <w:rPr>
          <w:color w:val="0000CC"/>
        </w:rPr>
      </w:pPr>
      <w:r>
        <w:rPr>
          <w:color w:val="0000CC"/>
        </w:rPr>
        <w:t>UE triggers a new RRC Resume procedure (i.e. no changes needed)</w:t>
      </w:r>
    </w:p>
    <w:p w14:paraId="15B4B6C4" w14:textId="77777777" w:rsidR="00EA567C" w:rsidRDefault="00786B2D">
      <w:pPr>
        <w:pStyle w:val="a9"/>
        <w:numPr>
          <w:ilvl w:val="0"/>
          <w:numId w:val="36"/>
        </w:numPr>
        <w:rPr>
          <w:color w:val="0000CC"/>
        </w:rPr>
      </w:pPr>
      <w:r>
        <w:rPr>
          <w:color w:val="0000CC"/>
        </w:rPr>
        <w:t>Other approaches</w:t>
      </w:r>
    </w:p>
    <w:tbl>
      <w:tblPr>
        <w:tblStyle w:val="ab"/>
        <w:tblW w:w="0" w:type="auto"/>
        <w:tblLook w:val="04A0" w:firstRow="1" w:lastRow="0" w:firstColumn="1" w:lastColumn="0" w:noHBand="0" w:noVBand="1"/>
      </w:tblPr>
      <w:tblGrid>
        <w:gridCol w:w="1975"/>
        <w:gridCol w:w="1170"/>
        <w:gridCol w:w="6205"/>
      </w:tblGrid>
      <w:tr w:rsidR="00EA567C" w14:paraId="15B4B6C8" w14:textId="77777777">
        <w:tc>
          <w:tcPr>
            <w:tcW w:w="1975" w:type="dxa"/>
            <w:shd w:val="clear" w:color="auto" w:fill="BFBFBF" w:themeFill="background1" w:themeFillShade="BF"/>
          </w:tcPr>
          <w:p w14:paraId="15B4B6C5"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6C6" w14:textId="77777777" w:rsidR="00EA567C" w:rsidRDefault="00786B2D">
            <w:pPr>
              <w:spacing w:after="0"/>
              <w:jc w:val="center"/>
              <w:rPr>
                <w:b/>
                <w:bCs/>
              </w:rPr>
            </w:pPr>
            <w:r>
              <w:rPr>
                <w:b/>
                <w:bCs/>
              </w:rPr>
              <w:t>Option</w:t>
            </w:r>
          </w:p>
        </w:tc>
        <w:tc>
          <w:tcPr>
            <w:tcW w:w="6205" w:type="dxa"/>
            <w:shd w:val="clear" w:color="auto" w:fill="BFBFBF" w:themeFill="background1" w:themeFillShade="BF"/>
          </w:tcPr>
          <w:p w14:paraId="15B4B6C7" w14:textId="77777777" w:rsidR="00EA567C" w:rsidRDefault="00786B2D">
            <w:pPr>
              <w:spacing w:after="0"/>
              <w:jc w:val="center"/>
              <w:rPr>
                <w:b/>
                <w:bCs/>
              </w:rPr>
            </w:pPr>
            <w:r>
              <w:rPr>
                <w:b/>
                <w:bCs/>
              </w:rPr>
              <w:t>Justification</w:t>
            </w:r>
          </w:p>
        </w:tc>
      </w:tr>
      <w:tr w:rsidR="00EA567C" w14:paraId="15B4B6CC" w14:textId="77777777">
        <w:tc>
          <w:tcPr>
            <w:tcW w:w="1975" w:type="dxa"/>
          </w:tcPr>
          <w:p w14:paraId="15B4B6C9" w14:textId="77777777" w:rsidR="00EA567C" w:rsidRDefault="00786B2D">
            <w:pPr>
              <w:spacing w:after="0"/>
            </w:pPr>
            <w:r>
              <w:t>Huawei, HiSilicon</w:t>
            </w:r>
          </w:p>
        </w:tc>
        <w:tc>
          <w:tcPr>
            <w:tcW w:w="1170" w:type="dxa"/>
          </w:tcPr>
          <w:p w14:paraId="15B4B6CA" w14:textId="77777777" w:rsidR="00EA567C" w:rsidRDefault="00786B2D">
            <w:pPr>
              <w:spacing w:after="0"/>
            </w:pPr>
            <w:r>
              <w:t>Option 16.1) with comments</w:t>
            </w:r>
          </w:p>
        </w:tc>
        <w:tc>
          <w:tcPr>
            <w:tcW w:w="6205" w:type="dxa"/>
          </w:tcPr>
          <w:p w14:paraId="15B4B6CB" w14:textId="77777777" w:rsidR="00EA567C" w:rsidRDefault="00786B2D">
            <w:pPr>
              <w:spacing w:after="0"/>
            </w:pPr>
            <w:r>
              <w:t xml:space="preserve">We are not sure if we can assume no changes are needed. In our understanding (pending confirmation from CT1), NAS will trigger another resume request to AS layers when non-SDT data arrives. This request will trigger the UE to generate the DCCH message. Then the question arises whether another RRC Resume procedure can be triggered based on the same NAS request or we need to indicate a failure to NAS and wait for </w:t>
            </w:r>
            <w:r>
              <w:lastRenderedPageBreak/>
              <w:t>another request? In both of these cases, some changes to the current specifications will be most likely needed.</w:t>
            </w:r>
          </w:p>
        </w:tc>
      </w:tr>
      <w:tr w:rsidR="00EA567C" w14:paraId="15B4B6D0" w14:textId="77777777">
        <w:trPr>
          <w:trHeight w:val="43"/>
        </w:trPr>
        <w:tc>
          <w:tcPr>
            <w:tcW w:w="1975" w:type="dxa"/>
          </w:tcPr>
          <w:p w14:paraId="15B4B6CD" w14:textId="77777777" w:rsidR="00EA567C" w:rsidRDefault="00786B2D">
            <w:pPr>
              <w:spacing w:after="0"/>
            </w:pPr>
            <w:r>
              <w:lastRenderedPageBreak/>
              <w:t>ZTE</w:t>
            </w:r>
          </w:p>
        </w:tc>
        <w:tc>
          <w:tcPr>
            <w:tcW w:w="1170" w:type="dxa"/>
          </w:tcPr>
          <w:p w14:paraId="15B4B6CE" w14:textId="77777777" w:rsidR="00EA567C" w:rsidRDefault="00786B2D">
            <w:pPr>
              <w:spacing w:after="0"/>
            </w:pPr>
            <w:r>
              <w:t>Option 16.1)</w:t>
            </w:r>
          </w:p>
        </w:tc>
        <w:tc>
          <w:tcPr>
            <w:tcW w:w="6205" w:type="dxa"/>
          </w:tcPr>
          <w:p w14:paraId="15B4B6CF" w14:textId="77777777" w:rsidR="00EA567C" w:rsidRDefault="00786B2D">
            <w:pPr>
              <w:spacing w:after="0"/>
            </w:pPr>
            <w:r>
              <w:t xml:space="preserve">When RRCRelease is received and there is pending data at NAS, then NAS will trigger a new RRCResumeRequest (this is same as today and needs no further discussion). Since new NCC will be there in the RRCRelease message, the next RRCResume can be done normally. </w:t>
            </w:r>
          </w:p>
        </w:tc>
      </w:tr>
      <w:tr w:rsidR="00EA567C" w14:paraId="15B4B6D4" w14:textId="77777777">
        <w:trPr>
          <w:trHeight w:val="43"/>
        </w:trPr>
        <w:tc>
          <w:tcPr>
            <w:tcW w:w="1975" w:type="dxa"/>
          </w:tcPr>
          <w:p w14:paraId="15B4B6D1" w14:textId="77777777" w:rsidR="00EA567C" w:rsidRDefault="00786B2D">
            <w:pPr>
              <w:spacing w:after="0"/>
            </w:pPr>
            <w:r>
              <w:t>InterDigital</w:t>
            </w:r>
          </w:p>
        </w:tc>
        <w:tc>
          <w:tcPr>
            <w:tcW w:w="1170" w:type="dxa"/>
          </w:tcPr>
          <w:p w14:paraId="15B4B6D2" w14:textId="77777777" w:rsidR="00EA567C" w:rsidRDefault="00786B2D">
            <w:pPr>
              <w:spacing w:after="0"/>
            </w:pPr>
            <w:r>
              <w:t>16.2</w:t>
            </w:r>
          </w:p>
        </w:tc>
        <w:tc>
          <w:tcPr>
            <w:tcW w:w="6205" w:type="dxa"/>
          </w:tcPr>
          <w:p w14:paraId="15B4B6D3" w14:textId="77777777" w:rsidR="00EA567C" w:rsidRDefault="00786B2D">
            <w:pPr>
              <w:spacing w:after="0"/>
            </w:pPr>
            <w:r>
              <w:t>We share Huawei/HiSilicon’s view.</w:t>
            </w:r>
          </w:p>
        </w:tc>
      </w:tr>
      <w:tr w:rsidR="00EA567C" w14:paraId="15B4B6DD" w14:textId="77777777">
        <w:tc>
          <w:tcPr>
            <w:tcW w:w="1975" w:type="dxa"/>
          </w:tcPr>
          <w:p w14:paraId="15B4B6D5" w14:textId="77777777" w:rsidR="00EA567C" w:rsidRDefault="00786B2D">
            <w:pPr>
              <w:spacing w:after="0"/>
            </w:pPr>
            <w:r>
              <w:t>CATT</w:t>
            </w:r>
          </w:p>
        </w:tc>
        <w:tc>
          <w:tcPr>
            <w:tcW w:w="1170" w:type="dxa"/>
          </w:tcPr>
          <w:p w14:paraId="15B4B6D6" w14:textId="77777777" w:rsidR="00EA567C" w:rsidRDefault="00786B2D">
            <w:pPr>
              <w:spacing w:after="0"/>
            </w:pPr>
            <w:r>
              <w:t>Option 16.1)</w:t>
            </w:r>
          </w:p>
        </w:tc>
        <w:tc>
          <w:tcPr>
            <w:tcW w:w="6205" w:type="dxa"/>
          </w:tcPr>
          <w:p w14:paraId="15B4B6D7" w14:textId="77777777" w:rsidR="00EA567C" w:rsidRDefault="00786B2D">
            <w:pPr>
              <w:spacing w:after="0"/>
              <w:rPr>
                <w:lang w:eastAsia="zh-CN"/>
              </w:rPr>
            </w:pPr>
            <w:r>
              <w:rPr>
                <w:rFonts w:hint="eastAsia"/>
                <w:lang w:eastAsia="zh-CN"/>
              </w:rPr>
              <w:t xml:space="preserve">When the UE receives RRC release message and enters RRC_INACTIVE, the AS layer </w:t>
            </w:r>
            <w:r>
              <w:t>indicate</w:t>
            </w:r>
            <w:r>
              <w:rPr>
                <w:rFonts w:hint="eastAsia"/>
                <w:lang w:eastAsia="zh-CN"/>
              </w:rPr>
              <w:t>s</w:t>
            </w:r>
            <w:r>
              <w:t xml:space="preserve"> the suspension of the RRC connection to upper layers</w:t>
            </w:r>
            <w:r>
              <w:rPr>
                <w:rFonts w:hint="eastAsia"/>
                <w:lang w:eastAsia="zh-CN"/>
              </w:rPr>
              <w:t>. According to the current descriptions in TS24.501 below, t</w:t>
            </w:r>
            <w:r>
              <w:rPr>
                <w:lang w:eastAsia="zh-CN"/>
              </w:rPr>
              <w:t>he</w:t>
            </w:r>
            <w:r>
              <w:rPr>
                <w:rFonts w:hint="eastAsia"/>
                <w:lang w:eastAsia="zh-CN"/>
              </w:rPr>
              <w:t xml:space="preserve"> NAS layer will trigger a new request to AS layer to transition to RRC_CONNECTED. </w:t>
            </w:r>
            <w:r>
              <w:rPr>
                <w:lang w:eastAsia="zh-CN"/>
              </w:rPr>
              <w:t>Then</w:t>
            </w:r>
            <w:r>
              <w:rPr>
                <w:rFonts w:hint="eastAsia"/>
                <w:lang w:eastAsia="zh-CN"/>
              </w:rPr>
              <w:t xml:space="preserve"> the AS layer of the UE triggers a new RRC Resume procedure. No change is needed.</w:t>
            </w:r>
          </w:p>
          <w:tbl>
            <w:tblPr>
              <w:tblStyle w:val="ab"/>
              <w:tblW w:w="0" w:type="auto"/>
              <w:tblLook w:val="04A0" w:firstRow="1" w:lastRow="0" w:firstColumn="1" w:lastColumn="0" w:noHBand="0" w:noVBand="1"/>
            </w:tblPr>
            <w:tblGrid>
              <w:gridCol w:w="5974"/>
            </w:tblGrid>
            <w:tr w:rsidR="00EA567C" w14:paraId="15B4B6DB" w14:textId="77777777">
              <w:tc>
                <w:tcPr>
                  <w:tcW w:w="5974" w:type="dxa"/>
                </w:tcPr>
                <w:p w14:paraId="15B4B6D8" w14:textId="77777777" w:rsidR="00EA567C" w:rsidRDefault="00786B2D">
                  <w:pPr>
                    <w:rPr>
                      <w:noProof/>
                    </w:rPr>
                  </w:pPr>
                  <w:r>
                    <w:rPr>
                      <w:noProof/>
                    </w:rPr>
                    <w:t xml:space="preserve">The UE shall transition from </w:t>
                  </w:r>
                  <w:r>
                    <w:t>5GMM-CONNECTED mode</w:t>
                  </w:r>
                  <w:r>
                    <w:rPr>
                      <w:noProof/>
                    </w:rPr>
                    <w:t xml:space="preserve"> over 3GPP access to </w:t>
                  </w:r>
                  <w:r>
                    <w:t>5GMM-CONNECTED mode with RRC inactive</w:t>
                  </w:r>
                  <w:r>
                    <w:rPr>
                      <w:noProof/>
                    </w:rPr>
                    <w:t xml:space="preserve"> indication upon receiving an indication from the lower layers that the RRC connection has been suspended.</w:t>
                  </w:r>
                </w:p>
                <w:p w14:paraId="15B4B6D9" w14:textId="77777777" w:rsidR="00EA567C" w:rsidRDefault="00786B2D">
                  <w:pPr>
                    <w:pStyle w:val="NO0"/>
                    <w:rPr>
                      <w:noProof/>
                      <w:lang w:val="en-US"/>
                    </w:rPr>
                  </w:pPr>
                  <w:r>
                    <w:rPr>
                      <w:noProof/>
                      <w:lang w:val="en-US"/>
                    </w:rPr>
                    <w:t>NOTE 0:</w:t>
                  </w:r>
                  <w:r>
                    <w:rPr>
                      <w:noProof/>
                      <w:lang w:val="en-US"/>
                    </w:rPr>
                    <w:tab/>
                  </w:r>
                  <w:r>
                    <w:t xml:space="preserve">Any pending procedure or uplink data packet when receiving </w:t>
                  </w:r>
                  <w:r>
                    <w:rPr>
                      <w:lang w:val="en-US"/>
                    </w:rPr>
                    <w:t>an indication from the lower layers that the RRC connection has been suspended, triggers a request to the lower layers to transition to RRC_CONNECTED state. This is also the case when the pending procedure or uplink data packet triggered a previous request to the lower layers to transition to RRC_CONNECTED state</w:t>
                  </w:r>
                  <w:r>
                    <w:t>.</w:t>
                  </w:r>
                </w:p>
                <w:p w14:paraId="15B4B6DA" w14:textId="77777777" w:rsidR="00EA567C" w:rsidRDefault="00EA567C">
                  <w:pPr>
                    <w:spacing w:after="0"/>
                    <w:rPr>
                      <w:lang w:eastAsia="zh-CN"/>
                    </w:rPr>
                  </w:pPr>
                </w:p>
              </w:tc>
            </w:tr>
          </w:tbl>
          <w:p w14:paraId="15B4B6DC" w14:textId="77777777" w:rsidR="00EA567C" w:rsidRDefault="00EA567C">
            <w:pPr>
              <w:spacing w:after="0"/>
            </w:pPr>
          </w:p>
        </w:tc>
      </w:tr>
      <w:tr w:rsidR="00EA567C" w14:paraId="15B4B6E1" w14:textId="77777777">
        <w:tc>
          <w:tcPr>
            <w:tcW w:w="1975" w:type="dxa"/>
          </w:tcPr>
          <w:p w14:paraId="15B4B6DE" w14:textId="77777777" w:rsidR="00EA567C" w:rsidRDefault="00786B2D">
            <w:pPr>
              <w:spacing w:after="0"/>
            </w:pPr>
            <w:r>
              <w:rPr>
                <w:rFonts w:eastAsiaTheme="minorEastAsia" w:hint="eastAsia"/>
              </w:rPr>
              <w:t>Samsung</w:t>
            </w:r>
          </w:p>
        </w:tc>
        <w:tc>
          <w:tcPr>
            <w:tcW w:w="1170" w:type="dxa"/>
          </w:tcPr>
          <w:p w14:paraId="15B4B6DF" w14:textId="77777777" w:rsidR="00EA567C" w:rsidRDefault="00786B2D">
            <w:pPr>
              <w:spacing w:after="0"/>
            </w:pPr>
            <w:r>
              <w:rPr>
                <w:rFonts w:eastAsiaTheme="minorEastAsia" w:hint="eastAsia"/>
              </w:rPr>
              <w:t>16.1</w:t>
            </w:r>
          </w:p>
        </w:tc>
        <w:tc>
          <w:tcPr>
            <w:tcW w:w="6205" w:type="dxa"/>
          </w:tcPr>
          <w:p w14:paraId="15B4B6E0" w14:textId="77777777" w:rsidR="00EA567C" w:rsidRDefault="00786B2D">
            <w:pPr>
              <w:spacing w:after="0"/>
              <w:rPr>
                <w:lang w:eastAsia="zh-CN"/>
              </w:rPr>
            </w:pPr>
            <w:r>
              <w:rPr>
                <w:rFonts w:eastAsiaTheme="minorEastAsia" w:hint="eastAsia"/>
              </w:rPr>
              <w:t>Same view as ZTE</w:t>
            </w:r>
          </w:p>
        </w:tc>
      </w:tr>
      <w:tr w:rsidR="00EA567C" w14:paraId="15B4B6E5" w14:textId="77777777">
        <w:tc>
          <w:tcPr>
            <w:tcW w:w="1975" w:type="dxa"/>
          </w:tcPr>
          <w:p w14:paraId="15B4B6E2" w14:textId="77777777" w:rsidR="00EA567C" w:rsidRDefault="00786B2D">
            <w:pPr>
              <w:spacing w:after="0"/>
              <w:rPr>
                <w:rFonts w:eastAsiaTheme="minorEastAsia"/>
              </w:rPr>
            </w:pPr>
            <w:r>
              <w:rPr>
                <w:rFonts w:eastAsiaTheme="minorEastAsia" w:hint="eastAsia"/>
              </w:rPr>
              <w:t>Fujitsu</w:t>
            </w:r>
          </w:p>
        </w:tc>
        <w:tc>
          <w:tcPr>
            <w:tcW w:w="1170" w:type="dxa"/>
          </w:tcPr>
          <w:p w14:paraId="15B4B6E3" w14:textId="77777777" w:rsidR="00EA567C" w:rsidRDefault="00786B2D">
            <w:pPr>
              <w:spacing w:after="0"/>
              <w:rPr>
                <w:rFonts w:eastAsiaTheme="minorEastAsia"/>
              </w:rPr>
            </w:pPr>
            <w:r>
              <w:rPr>
                <w:rFonts w:eastAsiaTheme="minorEastAsia" w:hint="eastAsia"/>
              </w:rPr>
              <w:t>16.1</w:t>
            </w:r>
            <w:r>
              <w:rPr>
                <w:rFonts w:eastAsiaTheme="minorEastAsia"/>
              </w:rPr>
              <w:t>)</w:t>
            </w:r>
          </w:p>
        </w:tc>
        <w:tc>
          <w:tcPr>
            <w:tcW w:w="6205" w:type="dxa"/>
          </w:tcPr>
          <w:p w14:paraId="15B4B6E4" w14:textId="77777777" w:rsidR="00EA567C" w:rsidRDefault="00786B2D">
            <w:pPr>
              <w:spacing w:after="0"/>
              <w:rPr>
                <w:rFonts w:eastAsiaTheme="minorEastAsia"/>
              </w:rPr>
            </w:pPr>
            <w:r>
              <w:rPr>
                <w:rFonts w:eastAsiaTheme="minorEastAsia" w:hint="eastAsia"/>
              </w:rPr>
              <w:t>We also think that the starting point is the legacy behaviour.</w:t>
            </w:r>
          </w:p>
        </w:tc>
      </w:tr>
      <w:tr w:rsidR="00EA567C" w14:paraId="15B4B6EA" w14:textId="77777777">
        <w:tc>
          <w:tcPr>
            <w:tcW w:w="1975" w:type="dxa"/>
          </w:tcPr>
          <w:p w14:paraId="15B4B6E6"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6E7" w14:textId="77777777" w:rsidR="00EA567C" w:rsidRDefault="00786B2D">
            <w:pPr>
              <w:spacing w:after="0"/>
              <w:rPr>
                <w:rFonts w:eastAsia="Malgun Gothic"/>
                <w:lang w:eastAsia="ko-KR"/>
              </w:rPr>
            </w:pPr>
            <w:r>
              <w:rPr>
                <w:rFonts w:eastAsia="Malgun Gothic" w:hint="eastAsia"/>
                <w:lang w:eastAsia="ko-KR"/>
              </w:rPr>
              <w:t>16.1 with comments</w:t>
            </w:r>
          </w:p>
        </w:tc>
        <w:tc>
          <w:tcPr>
            <w:tcW w:w="6205" w:type="dxa"/>
          </w:tcPr>
          <w:p w14:paraId="15B4B6E8" w14:textId="77777777" w:rsidR="00EA567C" w:rsidRDefault="00786B2D">
            <w:pPr>
              <w:spacing w:after="0"/>
            </w:pPr>
            <w:r>
              <w:rPr>
                <w:rFonts w:eastAsia="Malgun Gothic" w:hint="eastAsia"/>
                <w:lang w:eastAsia="ko-KR"/>
              </w:rPr>
              <w:t xml:space="preserve">We also think some changes are needed in any case. </w:t>
            </w:r>
            <w:r>
              <w:rPr>
                <w:rFonts w:eastAsia="Malgun Gothic"/>
                <w:lang w:eastAsia="ko-KR"/>
              </w:rPr>
              <w:t xml:space="preserve">As Huawei mentioned, we have to discuss first </w:t>
            </w:r>
            <w:r>
              <w:t>whether another RRC Resume procedure can be triggered based on the same NAS request or we need to indicate a failure to NAS and wait for another request. In both cases, some changes are needed.</w:t>
            </w:r>
          </w:p>
          <w:p w14:paraId="15B4B6E9" w14:textId="77777777" w:rsidR="00EA567C" w:rsidRDefault="00786B2D">
            <w:pPr>
              <w:spacing w:after="0"/>
              <w:rPr>
                <w:rFonts w:eastAsia="Malgun Gothic"/>
                <w:lang w:eastAsia="ko-KR"/>
              </w:rPr>
            </w:pPr>
            <w:r>
              <w:t>In addition, some changes are also needed for triggering of DCCH message. If there is no ongoing SDT procedure, the UE shall trigger CCCH message according to current specification. If DCCH-based solution is introduced, upon NAS request for non-SDT RB, the UE has to check whether there is ongoing SDT procedure or not to decide which message (CCCH or DCCH) to generate.</w:t>
            </w:r>
          </w:p>
        </w:tc>
      </w:tr>
      <w:tr w:rsidR="00584FDD" w14:paraId="3191B0AD" w14:textId="77777777">
        <w:tc>
          <w:tcPr>
            <w:tcW w:w="1975" w:type="dxa"/>
          </w:tcPr>
          <w:p w14:paraId="5F71E6AC" w14:textId="383656F8" w:rsidR="00584FDD" w:rsidRDefault="00584FDD" w:rsidP="00584FDD">
            <w:pPr>
              <w:spacing w:after="0"/>
              <w:rPr>
                <w:rFonts w:eastAsia="Malgun Gothic"/>
                <w:lang w:eastAsia="ko-KR"/>
              </w:rPr>
            </w:pPr>
            <w:r>
              <w:t>Intel</w:t>
            </w:r>
          </w:p>
        </w:tc>
        <w:tc>
          <w:tcPr>
            <w:tcW w:w="1170" w:type="dxa"/>
          </w:tcPr>
          <w:p w14:paraId="2FAB3AEA" w14:textId="17B33C9E" w:rsidR="00584FDD" w:rsidRDefault="00584FDD" w:rsidP="00584FDD">
            <w:pPr>
              <w:spacing w:after="0"/>
              <w:rPr>
                <w:rFonts w:eastAsia="Malgun Gothic"/>
                <w:lang w:eastAsia="ko-KR"/>
              </w:rPr>
            </w:pPr>
            <w:r>
              <w:t>16.1)</w:t>
            </w:r>
          </w:p>
        </w:tc>
        <w:tc>
          <w:tcPr>
            <w:tcW w:w="6205" w:type="dxa"/>
          </w:tcPr>
          <w:p w14:paraId="56FFE219" w14:textId="522928AD" w:rsidR="00584FDD" w:rsidRDefault="00584FDD" w:rsidP="00584FDD">
            <w:pPr>
              <w:spacing w:after="0"/>
              <w:rPr>
                <w:rFonts w:eastAsia="Malgun Gothic"/>
                <w:lang w:eastAsia="ko-KR"/>
              </w:rPr>
            </w:pPr>
            <w:r>
              <w:t>Currently network can release/suspend UE’s RRC connection at any time (even when UE’s data is still available in the buffer). If so, UE’s corresponding actions are not defined (unless barring time is provided in release msg). Therefore, we understand that similar behaviour would also apply for SDT. On summary, UE’s actions if SDT session is terminated by the network when non-SDT data is available in UE are left up to UE implementation and no special handling needs to be defined in TS for this scenario. Note that the expected behaviour of a good UE would be triggering a new RRCResumeReq msg (as there is data still on buffers waiting to be sent) as explained in option 16.1.</w:t>
            </w:r>
          </w:p>
        </w:tc>
      </w:tr>
      <w:tr w:rsidR="00D56910" w14:paraId="71103204" w14:textId="77777777">
        <w:tc>
          <w:tcPr>
            <w:tcW w:w="1975" w:type="dxa"/>
          </w:tcPr>
          <w:p w14:paraId="494CC338" w14:textId="44AEE6E7" w:rsidR="00D56910" w:rsidRDefault="00D56910" w:rsidP="00D56910">
            <w:pPr>
              <w:spacing w:after="0"/>
            </w:pPr>
            <w:r>
              <w:rPr>
                <w:rFonts w:hint="eastAsia"/>
                <w:lang w:eastAsia="zh-CN"/>
              </w:rPr>
              <w:lastRenderedPageBreak/>
              <w:t>N</w:t>
            </w:r>
            <w:r>
              <w:rPr>
                <w:lang w:eastAsia="zh-CN"/>
              </w:rPr>
              <w:t>EC</w:t>
            </w:r>
          </w:p>
        </w:tc>
        <w:tc>
          <w:tcPr>
            <w:tcW w:w="1170" w:type="dxa"/>
          </w:tcPr>
          <w:p w14:paraId="20EA2419" w14:textId="04DD0BE8" w:rsidR="00D56910" w:rsidRDefault="00D56910" w:rsidP="00D56910">
            <w:pPr>
              <w:spacing w:after="0"/>
            </w:pPr>
            <w:r>
              <w:t>Option 16.1) with comments</w:t>
            </w:r>
          </w:p>
        </w:tc>
        <w:tc>
          <w:tcPr>
            <w:tcW w:w="6205" w:type="dxa"/>
          </w:tcPr>
          <w:p w14:paraId="51778402" w14:textId="2F1E6A8C" w:rsidR="00D56910" w:rsidRDefault="00D56910" w:rsidP="00D56910">
            <w:pPr>
              <w:spacing w:after="0"/>
            </w:pPr>
            <w:r>
              <w:t>Agree with Huawei’s comments.</w:t>
            </w:r>
          </w:p>
        </w:tc>
      </w:tr>
    </w:tbl>
    <w:p w14:paraId="15B4B6EB" w14:textId="77777777" w:rsidR="00EA567C" w:rsidRDefault="00EA567C">
      <w:pPr>
        <w:rPr>
          <w:rFonts w:ascii="Times New Roman" w:hAnsi="Times New Roman" w:cs="Times New Roman"/>
          <w:sz w:val="20"/>
          <w:szCs w:val="20"/>
        </w:rPr>
      </w:pPr>
    </w:p>
    <w:p w14:paraId="15B4B6EC" w14:textId="77777777" w:rsidR="00EA567C" w:rsidRDefault="00786B2D">
      <w:pPr>
        <w:pStyle w:val="3"/>
      </w:pPr>
      <w:bookmarkStart w:id="128" w:name="_Ref75009329"/>
      <w:r>
        <w:t xml:space="preserve">[DCCH point (4)] </w:t>
      </w:r>
      <w:bookmarkEnd w:id="128"/>
      <w:r>
        <w:t>UL grant availability</w:t>
      </w:r>
    </w:p>
    <w:p w14:paraId="15B4B6ED" w14:textId="77777777" w:rsidR="00EA567C" w:rsidRDefault="00786B2D">
      <w:pPr>
        <w:pStyle w:val="4"/>
        <w:rPr>
          <w:color w:val="0000CC"/>
        </w:rPr>
      </w:pPr>
      <w:r>
        <w:rPr>
          <w:color w:val="0000CC"/>
          <w:lang w:val="en-US"/>
        </w:rPr>
        <w:fldChar w:fldCharType="begin"/>
      </w:r>
      <w:r>
        <w:rPr>
          <w:color w:val="0000CC"/>
          <w:lang w:val="en-US"/>
        </w:rPr>
        <w:instrText xml:space="preserve"> REF _Ref75008457 \r \h </w:instrText>
      </w:r>
      <w:r>
        <w:rPr>
          <w:color w:val="0000CC"/>
          <w:lang w:val="en-US"/>
        </w:rPr>
      </w:r>
      <w:r>
        <w:rPr>
          <w:color w:val="0000CC"/>
          <w:lang w:val="en-US"/>
        </w:rPr>
        <w:fldChar w:fldCharType="separate"/>
      </w:r>
      <w:r>
        <w:rPr>
          <w:color w:val="0000CC"/>
          <w:lang w:val="en-US"/>
        </w:rPr>
        <w:t>Q.23)</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6EE"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_Ref75008457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Q.23)</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the responses provided during the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15B4B6EF" w14:textId="77777777" w:rsidR="00EA567C" w:rsidRDefault="00786B2D">
      <w:pPr>
        <w:pStyle w:val="a9"/>
        <w:numPr>
          <w:ilvl w:val="0"/>
          <w:numId w:val="30"/>
        </w:numPr>
        <w:overflowPunct/>
        <w:autoSpaceDE/>
        <w:autoSpaceDN/>
        <w:adjustRightInd/>
        <w:spacing w:after="120" w:line="259" w:lineRule="auto"/>
        <w:contextualSpacing w:val="0"/>
        <w:jc w:val="both"/>
        <w:rPr>
          <w:color w:val="0000CC"/>
        </w:rPr>
      </w:pPr>
      <w:bookmarkStart w:id="129" w:name="_Ref75008457"/>
      <w:r>
        <w:rPr>
          <w:color w:val="0000CC"/>
        </w:rPr>
        <w:t>What is the expected UE behaviour if there is no UL grant for a UE to send the DCCH message for non-SDT data indication during an ongoing SDT session?</w:t>
      </w:r>
      <w:bookmarkEnd w:id="129"/>
    </w:p>
    <w:tbl>
      <w:tblPr>
        <w:tblStyle w:val="ab"/>
        <w:tblW w:w="5000" w:type="pct"/>
        <w:tblLook w:val="04A0" w:firstRow="1" w:lastRow="0" w:firstColumn="1" w:lastColumn="0" w:noHBand="0" w:noVBand="1"/>
      </w:tblPr>
      <w:tblGrid>
        <w:gridCol w:w="1975"/>
        <w:gridCol w:w="7375"/>
      </w:tblGrid>
      <w:tr w:rsidR="00EA567C" w14:paraId="15B4B6F2" w14:textId="77777777">
        <w:tc>
          <w:tcPr>
            <w:tcW w:w="1056" w:type="pct"/>
            <w:shd w:val="clear" w:color="auto" w:fill="BFBFBF" w:themeFill="background1" w:themeFillShade="BF"/>
          </w:tcPr>
          <w:p w14:paraId="15B4B6F0" w14:textId="77777777" w:rsidR="00EA567C" w:rsidRDefault="00786B2D">
            <w:pPr>
              <w:spacing w:after="0"/>
              <w:jc w:val="center"/>
              <w:rPr>
                <w:b/>
                <w:bCs/>
              </w:rPr>
            </w:pPr>
            <w:r>
              <w:rPr>
                <w:b/>
                <w:bCs/>
              </w:rPr>
              <w:t>Company’s name</w:t>
            </w:r>
          </w:p>
        </w:tc>
        <w:tc>
          <w:tcPr>
            <w:tcW w:w="3944" w:type="pct"/>
            <w:shd w:val="clear" w:color="auto" w:fill="BFBFBF" w:themeFill="background1" w:themeFillShade="BF"/>
          </w:tcPr>
          <w:p w14:paraId="15B4B6F1" w14:textId="77777777" w:rsidR="00EA567C" w:rsidRDefault="00786B2D">
            <w:pPr>
              <w:spacing w:after="0"/>
              <w:jc w:val="center"/>
              <w:rPr>
                <w:b/>
                <w:bCs/>
              </w:rPr>
            </w:pPr>
            <w:r>
              <w:rPr>
                <w:b/>
                <w:bCs/>
              </w:rPr>
              <w:t>Companies’ views</w:t>
            </w:r>
          </w:p>
        </w:tc>
      </w:tr>
      <w:tr w:rsidR="00EA567C" w14:paraId="15B4B6F5" w14:textId="77777777">
        <w:tc>
          <w:tcPr>
            <w:tcW w:w="1056" w:type="pct"/>
          </w:tcPr>
          <w:p w14:paraId="15B4B6F3" w14:textId="77777777" w:rsidR="00EA567C" w:rsidRDefault="00786B2D">
            <w:pPr>
              <w:spacing w:after="0"/>
            </w:pPr>
            <w:r>
              <w:t>Huawei, HiSilicon</w:t>
            </w:r>
          </w:p>
        </w:tc>
        <w:tc>
          <w:tcPr>
            <w:tcW w:w="3944" w:type="pct"/>
          </w:tcPr>
          <w:p w14:paraId="15B4B6F4" w14:textId="77777777" w:rsidR="00EA567C" w:rsidRDefault="00786B2D">
            <w:pPr>
              <w:spacing w:after="0"/>
            </w:pPr>
            <w:r>
              <w:t>In this case the UE needs to trigger SR via RACH procedure. This again makes the whole procedure similar to CCCH-based solution and it would be more straightforward to apply it from the beginning in our opinion.</w:t>
            </w:r>
          </w:p>
        </w:tc>
      </w:tr>
      <w:tr w:rsidR="00EA567C" w14:paraId="15B4B6FA" w14:textId="77777777">
        <w:tc>
          <w:tcPr>
            <w:tcW w:w="1056" w:type="pct"/>
          </w:tcPr>
          <w:p w14:paraId="15B4B6F6" w14:textId="77777777" w:rsidR="00EA567C" w:rsidRDefault="00786B2D">
            <w:pPr>
              <w:spacing w:after="0"/>
            </w:pPr>
            <w:r>
              <w:t>ZTE</w:t>
            </w:r>
          </w:p>
        </w:tc>
        <w:tc>
          <w:tcPr>
            <w:tcW w:w="3944" w:type="pct"/>
          </w:tcPr>
          <w:p w14:paraId="15B4B6F7" w14:textId="77777777" w:rsidR="00EA567C" w:rsidRDefault="00786B2D">
            <w:pPr>
              <w:spacing w:after="0"/>
            </w:pPr>
            <w:r>
              <w:t xml:space="preserve">Yes, in this case RACH procedure will be triggered. </w:t>
            </w:r>
          </w:p>
          <w:p w14:paraId="15B4B6F8" w14:textId="77777777" w:rsidR="00EA567C" w:rsidRDefault="00786B2D">
            <w:pPr>
              <w:pStyle w:val="a9"/>
              <w:numPr>
                <w:ilvl w:val="0"/>
                <w:numId w:val="27"/>
              </w:numPr>
              <w:spacing w:after="0"/>
            </w:pPr>
            <w:r>
              <w:t>So, if there is no UL grant, then DCCH message will incur an extra RACH procedure (same as CCCH)</w:t>
            </w:r>
          </w:p>
          <w:p w14:paraId="15B4B6F9" w14:textId="77777777" w:rsidR="00EA567C" w:rsidRDefault="00786B2D">
            <w:pPr>
              <w:pStyle w:val="a9"/>
              <w:numPr>
                <w:ilvl w:val="0"/>
                <w:numId w:val="27"/>
              </w:numPr>
              <w:spacing w:after="0"/>
            </w:pPr>
            <w:r>
              <w:t xml:space="preserve">If there is UL grant DCCH approach will avoid the unnecessary RACH procedure, but CCCH approach always requires a RACH procedure and hence the extra latency associated with the RACH procedure to move to connected state. </w:t>
            </w:r>
          </w:p>
        </w:tc>
      </w:tr>
      <w:tr w:rsidR="00EA567C" w14:paraId="15B4B6FD" w14:textId="77777777">
        <w:tc>
          <w:tcPr>
            <w:tcW w:w="1056" w:type="pct"/>
          </w:tcPr>
          <w:p w14:paraId="15B4B6FB" w14:textId="77777777" w:rsidR="00EA567C" w:rsidRDefault="00786B2D">
            <w:pPr>
              <w:spacing w:after="0"/>
            </w:pPr>
            <w:r>
              <w:t>InterDigital</w:t>
            </w:r>
          </w:p>
        </w:tc>
        <w:tc>
          <w:tcPr>
            <w:tcW w:w="3944" w:type="pct"/>
          </w:tcPr>
          <w:p w14:paraId="15B4B6FC" w14:textId="77777777" w:rsidR="00EA567C" w:rsidRDefault="00786B2D">
            <w:pPr>
              <w:spacing w:after="0"/>
            </w:pPr>
            <w:r>
              <w:t>UE should trigger a SR (which will end up in RACH procedure initiation) if UE doesn’t have any valid grant for the DCCH message of non-SDT data indication. It needs to be discussed how to uniquely identify the UE from a DCCH message included in Msg3 or MsgA.</w:t>
            </w:r>
          </w:p>
        </w:tc>
      </w:tr>
      <w:tr w:rsidR="00EA567C" w14:paraId="15B4B700" w14:textId="77777777">
        <w:tc>
          <w:tcPr>
            <w:tcW w:w="1056" w:type="pct"/>
          </w:tcPr>
          <w:p w14:paraId="15B4B6FE" w14:textId="77777777" w:rsidR="00EA567C" w:rsidRDefault="00786B2D">
            <w:pPr>
              <w:spacing w:after="0"/>
            </w:pPr>
            <w:r>
              <w:t>CATT</w:t>
            </w:r>
          </w:p>
        </w:tc>
        <w:tc>
          <w:tcPr>
            <w:tcW w:w="3944" w:type="pct"/>
          </w:tcPr>
          <w:p w14:paraId="15B4B6FF" w14:textId="77777777" w:rsidR="00EA567C" w:rsidRDefault="00786B2D">
            <w:pPr>
              <w:spacing w:after="0"/>
            </w:pPr>
            <w:r>
              <w:t>In this case the UE would trigger SR via RACH procedure. Compared to CCCH based approach, the UE triggered SR via RACH is not an always-required behaviour with DCCH-based approach.</w:t>
            </w:r>
          </w:p>
        </w:tc>
      </w:tr>
      <w:tr w:rsidR="00EA567C" w14:paraId="15B4B703" w14:textId="77777777">
        <w:tc>
          <w:tcPr>
            <w:tcW w:w="1056" w:type="pct"/>
          </w:tcPr>
          <w:p w14:paraId="15B4B701" w14:textId="77777777" w:rsidR="00EA567C" w:rsidRDefault="00786B2D">
            <w:pPr>
              <w:spacing w:after="0"/>
            </w:pPr>
            <w:r>
              <w:rPr>
                <w:rFonts w:eastAsiaTheme="minorEastAsia" w:hint="eastAsia"/>
              </w:rPr>
              <w:t>Samsung</w:t>
            </w:r>
          </w:p>
        </w:tc>
        <w:tc>
          <w:tcPr>
            <w:tcW w:w="3944" w:type="pct"/>
          </w:tcPr>
          <w:p w14:paraId="15B4B702" w14:textId="77777777" w:rsidR="00EA567C" w:rsidRDefault="00786B2D">
            <w:pPr>
              <w:spacing w:after="0"/>
            </w:pPr>
            <w:r>
              <w:rPr>
                <w:rFonts w:eastAsiaTheme="minorEastAsia" w:hint="eastAsia"/>
              </w:rPr>
              <w:t xml:space="preserve">RACH will be </w:t>
            </w:r>
            <w:r>
              <w:rPr>
                <w:rFonts w:eastAsiaTheme="minorEastAsia"/>
              </w:rPr>
              <w:t>triggered</w:t>
            </w:r>
          </w:p>
        </w:tc>
      </w:tr>
      <w:tr w:rsidR="00EA567C" w14:paraId="15B4B706" w14:textId="77777777">
        <w:tc>
          <w:tcPr>
            <w:tcW w:w="1056" w:type="pct"/>
          </w:tcPr>
          <w:p w14:paraId="15B4B704" w14:textId="77777777" w:rsidR="00EA567C" w:rsidRDefault="00786B2D">
            <w:pPr>
              <w:spacing w:after="0"/>
              <w:rPr>
                <w:rFonts w:eastAsiaTheme="minorEastAsia"/>
              </w:rPr>
            </w:pPr>
            <w:r>
              <w:rPr>
                <w:rFonts w:eastAsiaTheme="minorEastAsia" w:hint="eastAsia"/>
              </w:rPr>
              <w:t>Fujitsu</w:t>
            </w:r>
          </w:p>
        </w:tc>
        <w:tc>
          <w:tcPr>
            <w:tcW w:w="3944" w:type="pct"/>
          </w:tcPr>
          <w:p w14:paraId="15B4B705" w14:textId="77777777" w:rsidR="00EA567C" w:rsidRDefault="00786B2D">
            <w:pPr>
              <w:spacing w:after="0"/>
              <w:rPr>
                <w:rFonts w:eastAsiaTheme="minorEastAsia"/>
              </w:rPr>
            </w:pPr>
            <w:r>
              <w:rPr>
                <w:rFonts w:eastAsiaTheme="minorEastAsia" w:hint="eastAsia"/>
              </w:rPr>
              <w:t>We also think that the starting point is the legacy behaviour.</w:t>
            </w:r>
            <w:r>
              <w:rPr>
                <w:rFonts w:eastAsiaTheme="minorEastAsia"/>
              </w:rPr>
              <w:t xml:space="preserve"> It means that SR RACH procedure would be initiated.</w:t>
            </w:r>
          </w:p>
        </w:tc>
      </w:tr>
      <w:tr w:rsidR="00EA567C" w14:paraId="15B4B709" w14:textId="77777777">
        <w:tc>
          <w:tcPr>
            <w:tcW w:w="1056" w:type="pct"/>
          </w:tcPr>
          <w:p w14:paraId="15B4B707" w14:textId="77777777" w:rsidR="00EA567C" w:rsidRDefault="00786B2D">
            <w:pPr>
              <w:spacing w:after="0"/>
              <w:rPr>
                <w:rFonts w:eastAsia="Malgun Gothic"/>
                <w:lang w:eastAsia="ko-KR"/>
              </w:rPr>
            </w:pPr>
            <w:r>
              <w:rPr>
                <w:rFonts w:eastAsia="Malgun Gothic" w:hint="eastAsia"/>
                <w:lang w:eastAsia="ko-KR"/>
              </w:rPr>
              <w:t>LG</w:t>
            </w:r>
          </w:p>
        </w:tc>
        <w:tc>
          <w:tcPr>
            <w:tcW w:w="3944" w:type="pct"/>
          </w:tcPr>
          <w:p w14:paraId="15B4B708" w14:textId="77777777" w:rsidR="00EA567C" w:rsidRDefault="00786B2D">
            <w:pPr>
              <w:spacing w:after="0"/>
              <w:rPr>
                <w:rFonts w:eastAsia="Malgun Gothic"/>
                <w:lang w:eastAsia="ko-KR"/>
              </w:rPr>
            </w:pPr>
            <w:r>
              <w:rPr>
                <w:rFonts w:eastAsia="Malgun Gothic"/>
                <w:lang w:eastAsia="ko-KR"/>
              </w:rPr>
              <w:t>RACH shall be triggered. Moreover, even if UL grant is enough to send DCCH message, we think RACH shall be triggered, as replied to Q7. The UE terminates the ongoing SDT procedure and initiates a normal RRCResume procedure</w:t>
            </w:r>
          </w:p>
        </w:tc>
      </w:tr>
      <w:tr w:rsidR="00470884" w14:paraId="7B7F218D" w14:textId="77777777">
        <w:tc>
          <w:tcPr>
            <w:tcW w:w="1056" w:type="pct"/>
          </w:tcPr>
          <w:p w14:paraId="6FB2853E" w14:textId="5F1F351B" w:rsidR="00470884" w:rsidRDefault="00470884" w:rsidP="00470884">
            <w:pPr>
              <w:spacing w:after="0"/>
              <w:rPr>
                <w:rFonts w:eastAsia="Malgun Gothic"/>
                <w:lang w:eastAsia="ko-KR"/>
              </w:rPr>
            </w:pPr>
            <w:r>
              <w:t>Intel</w:t>
            </w:r>
          </w:p>
        </w:tc>
        <w:tc>
          <w:tcPr>
            <w:tcW w:w="3944" w:type="pct"/>
          </w:tcPr>
          <w:p w14:paraId="2EAE9B0E" w14:textId="4B454538" w:rsidR="00470884" w:rsidRDefault="00470884" w:rsidP="00470884">
            <w:pPr>
              <w:spacing w:after="0"/>
              <w:rPr>
                <w:rFonts w:eastAsia="Malgun Gothic"/>
                <w:lang w:eastAsia="ko-KR"/>
              </w:rPr>
            </w:pPr>
            <w:r>
              <w:t>RAN2 agreed that “</w:t>
            </w:r>
            <w:r>
              <w:rPr>
                <w:i/>
                <w:iCs/>
              </w:rPr>
              <w:t>SR resource is not configured for SDT. When the BSR is triggered by SDT data, the UE will trigger RA because SR resource is not available, same as legacy</w:t>
            </w:r>
            <w:r>
              <w:t>”. Therefore, similar operation is assumed for current scenario i.e. UE triggers RA to indicate that non-SDT data is available during the SDT session. We also share ZTE’s view on the related details provided for CCCH vs DCCH based solution.</w:t>
            </w:r>
          </w:p>
        </w:tc>
      </w:tr>
      <w:tr w:rsidR="00D56910" w14:paraId="4808B6B4" w14:textId="77777777">
        <w:tc>
          <w:tcPr>
            <w:tcW w:w="1056" w:type="pct"/>
          </w:tcPr>
          <w:p w14:paraId="7AEA19DC" w14:textId="731C1AE9" w:rsidR="00D56910" w:rsidRDefault="00D56910" w:rsidP="00D56910">
            <w:pPr>
              <w:spacing w:after="0"/>
            </w:pPr>
            <w:r>
              <w:rPr>
                <w:rFonts w:hint="eastAsia"/>
                <w:lang w:eastAsia="zh-CN"/>
              </w:rPr>
              <w:t>N</w:t>
            </w:r>
            <w:r>
              <w:rPr>
                <w:lang w:eastAsia="zh-CN"/>
              </w:rPr>
              <w:t>EC</w:t>
            </w:r>
          </w:p>
        </w:tc>
        <w:tc>
          <w:tcPr>
            <w:tcW w:w="3944" w:type="pct"/>
          </w:tcPr>
          <w:p w14:paraId="01EEFA65" w14:textId="184148B2" w:rsidR="00D56910" w:rsidRDefault="00D56910" w:rsidP="00D56910">
            <w:pPr>
              <w:spacing w:after="0"/>
            </w:pPr>
            <w:r>
              <w:rPr>
                <w:lang w:eastAsia="zh-CN"/>
              </w:rPr>
              <w:t>During the subsequent transmission, if there is no valid UL grant for CCCH, RACH procedure can be triggered. However, during the initial transmission phase, the RACH solution doesn’t work, as we cannot have two parallel RACH procedure, and the UE has to wait until msg4/B reception. And if RRCRelease is received in msg4/B, the DCCH is not able to be transmitted at all, and UE has to start over one RRC Resume procedure as in Q22. To avoid this kinds of situation, we think CCCH based solution which can terminate the SDT procedure immediately is better.</w:t>
            </w:r>
          </w:p>
        </w:tc>
      </w:tr>
    </w:tbl>
    <w:p w14:paraId="15B4B70A" w14:textId="77777777" w:rsidR="00EA567C" w:rsidRDefault="00EA567C">
      <w:pPr>
        <w:jc w:val="both"/>
        <w:rPr>
          <w:rFonts w:ascii="Times New Roman" w:hAnsi="Times New Roman" w:cs="Times New Roman"/>
          <w:sz w:val="20"/>
          <w:szCs w:val="20"/>
        </w:rPr>
      </w:pPr>
    </w:p>
    <w:p w14:paraId="15B4B70B" w14:textId="77777777" w:rsidR="00EA567C" w:rsidRDefault="00786B2D">
      <w:pPr>
        <w:pStyle w:val="1"/>
        <w:numPr>
          <w:ilvl w:val="0"/>
          <w:numId w:val="2"/>
        </w:numPr>
      </w:pPr>
      <w:bookmarkStart w:id="130" w:name="_Ref74123323"/>
      <w:bookmarkStart w:id="131" w:name="_Ref74146897"/>
      <w:r>
        <w:lastRenderedPageBreak/>
        <w:t>Failure handling during ongoing SDT session</w:t>
      </w:r>
      <w:bookmarkEnd w:id="130"/>
      <w:bookmarkEnd w:id="131"/>
    </w:p>
    <w:p w14:paraId="15B4B70C"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lang w:eastAsia="x-none"/>
        </w:rPr>
        <w:t>This section aims to understand how failure of an SDT connection could be handled. The main focus of this email discussion is in a failure due to cell reselection during a given SDT session, however companies are invited to provide their inputs in first sections aiming to understand whether a common UE behaviour could be defined regardless of the kind of trigger of the abrupt SDT failure.</w:t>
      </w:r>
    </w:p>
    <w:p w14:paraId="15B4B70D" w14:textId="77777777" w:rsidR="00EA567C" w:rsidRDefault="00786B2D">
      <w:pPr>
        <w:pStyle w:val="2"/>
      </w:pPr>
      <w:bookmarkStart w:id="132" w:name="_Hlk73969416"/>
      <w:r>
        <w:t>Triggers to an abrupt termination/failure of an SDT session</w:t>
      </w:r>
      <w:bookmarkEnd w:id="132"/>
    </w:p>
    <w:p w14:paraId="15B4B70E" w14:textId="77777777" w:rsidR="00EA567C" w:rsidRDefault="00786B2D">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The following triggers were identified by companies as potential triggers that lead to an abrupt termination or failure of an ongoing SDT session:</w:t>
      </w:r>
    </w:p>
    <w:p w14:paraId="15B4B70F" w14:textId="77777777" w:rsidR="00EA567C" w:rsidRDefault="00786B2D">
      <w:pPr>
        <w:pStyle w:val="a9"/>
        <w:numPr>
          <w:ilvl w:val="0"/>
          <w:numId w:val="20"/>
        </w:numPr>
        <w:spacing w:after="60"/>
        <w:contextualSpacing w:val="0"/>
        <w:rPr>
          <w:lang w:eastAsia="x-none"/>
        </w:rPr>
      </w:pPr>
      <w:r>
        <w:rPr>
          <w:lang w:eastAsia="x-none"/>
        </w:rPr>
        <w:t xml:space="preserve">Cell reselection </w:t>
      </w:r>
      <w:r>
        <w:rPr>
          <w:lang w:eastAsia="x-none"/>
        </w:rPr>
        <w:fldChar w:fldCharType="begin"/>
      </w:r>
      <w:r>
        <w:rPr>
          <w:lang w:eastAsia="x-none"/>
        </w:rPr>
        <w:instrText xml:space="preserve"> REF _Ref74088838 \r \h  \* MERGEFORMAT </w:instrText>
      </w:r>
      <w:r>
        <w:rPr>
          <w:lang w:eastAsia="x-none"/>
        </w:rPr>
      </w:r>
      <w:r>
        <w:rPr>
          <w:lang w:eastAsia="x-none"/>
        </w:rPr>
        <w:fldChar w:fldCharType="separate"/>
      </w:r>
      <w:r>
        <w:rPr>
          <w:lang w:eastAsia="x-none"/>
        </w:rPr>
        <w:t>[4]</w:t>
      </w:r>
      <w:r>
        <w:rPr>
          <w:lang w:eastAsia="x-none"/>
        </w:rPr>
        <w:fldChar w:fldCharType="end"/>
      </w:r>
      <w:r>
        <w:rPr>
          <w:lang w:eastAsia="x-none"/>
        </w:rPr>
        <w:fldChar w:fldCharType="begin"/>
      </w:r>
      <w:r>
        <w:rPr>
          <w:lang w:eastAsia="x-none"/>
        </w:rPr>
        <w:instrText xml:space="preserve"> REF _Ref74089279 \r \h  \* MERGEFORMAT </w:instrText>
      </w:r>
      <w:r>
        <w:rPr>
          <w:lang w:eastAsia="x-none"/>
        </w:rPr>
      </w:r>
      <w:r>
        <w:rPr>
          <w:lang w:eastAsia="x-none"/>
        </w:rPr>
        <w:fldChar w:fldCharType="separate"/>
      </w:r>
      <w:r>
        <w:rPr>
          <w:lang w:eastAsia="x-none"/>
        </w:rPr>
        <w:t>[7]</w:t>
      </w:r>
      <w:r>
        <w:rPr>
          <w:lang w:eastAsia="x-none"/>
        </w:rPr>
        <w:fldChar w:fldCharType="end"/>
      </w:r>
      <w:r>
        <w:rPr>
          <w:lang w:eastAsia="x-none"/>
        </w:rPr>
        <w:fldChar w:fldCharType="begin"/>
      </w:r>
      <w:r>
        <w:rPr>
          <w:lang w:eastAsia="x-none"/>
        </w:rPr>
        <w:instrText xml:space="preserve"> REF _Ref74088756 \r \h  \* MERGEFORMAT </w:instrText>
      </w:r>
      <w:r>
        <w:rPr>
          <w:lang w:eastAsia="x-none"/>
        </w:rPr>
      </w:r>
      <w:r>
        <w:rPr>
          <w:lang w:eastAsia="x-none"/>
        </w:rPr>
        <w:fldChar w:fldCharType="separate"/>
      </w:r>
      <w:r>
        <w:rPr>
          <w:lang w:eastAsia="x-none"/>
        </w:rPr>
        <w:t>[8]</w:t>
      </w:r>
      <w:r>
        <w:rPr>
          <w:lang w:eastAsia="x-none"/>
        </w:rPr>
        <w:fldChar w:fldCharType="end"/>
      </w:r>
      <w:r>
        <w:rPr>
          <w:lang w:eastAsia="x-none"/>
        </w:rPr>
        <w:fldChar w:fldCharType="begin"/>
      </w:r>
      <w:r>
        <w:rPr>
          <w:lang w:eastAsia="x-none"/>
        </w:rPr>
        <w:instrText xml:space="preserve"> REF _Ref74088996 \r \h  \* MERGEFORMAT </w:instrText>
      </w:r>
      <w:r>
        <w:rPr>
          <w:lang w:eastAsia="x-none"/>
        </w:rPr>
      </w:r>
      <w:r>
        <w:rPr>
          <w:lang w:eastAsia="x-none"/>
        </w:rPr>
        <w:fldChar w:fldCharType="separate"/>
      </w:r>
      <w:r>
        <w:rPr>
          <w:lang w:eastAsia="x-none"/>
        </w:rPr>
        <w:t>[9]</w:t>
      </w:r>
      <w:r>
        <w:rPr>
          <w:lang w:eastAsia="x-none"/>
        </w:rPr>
        <w:fldChar w:fldCharType="end"/>
      </w:r>
      <w:r>
        <w:rPr>
          <w:lang w:eastAsia="x-none"/>
        </w:rPr>
        <w:fldChar w:fldCharType="begin"/>
      </w:r>
      <w:r>
        <w:rPr>
          <w:lang w:eastAsia="x-none"/>
        </w:rPr>
        <w:instrText xml:space="preserve"> REF _Ref74088974 \r \h  \* MERGEFORMAT </w:instrText>
      </w:r>
      <w:r>
        <w:rPr>
          <w:lang w:eastAsia="x-none"/>
        </w:rPr>
      </w:r>
      <w:r>
        <w:rPr>
          <w:lang w:eastAsia="x-none"/>
        </w:rPr>
        <w:fldChar w:fldCharType="separate"/>
      </w:r>
      <w:r>
        <w:rPr>
          <w:lang w:eastAsia="x-none"/>
        </w:rPr>
        <w:t>[14]</w:t>
      </w:r>
      <w:r>
        <w:rPr>
          <w:lang w:eastAsia="x-none"/>
        </w:rPr>
        <w:fldChar w:fldCharType="end"/>
      </w:r>
      <w:r>
        <w:rPr>
          <w:lang w:eastAsia="x-none"/>
        </w:rPr>
        <w:fldChar w:fldCharType="begin"/>
      </w:r>
      <w:r>
        <w:rPr>
          <w:lang w:eastAsia="x-none"/>
        </w:rPr>
        <w:instrText xml:space="preserve"> REF _Ref74088860 \r \h  \* MERGEFORMAT </w:instrText>
      </w:r>
      <w:r>
        <w:rPr>
          <w:lang w:eastAsia="x-none"/>
        </w:rPr>
      </w:r>
      <w:r>
        <w:rPr>
          <w:lang w:eastAsia="x-none"/>
        </w:rPr>
        <w:fldChar w:fldCharType="separate"/>
      </w:r>
      <w:r>
        <w:rPr>
          <w:lang w:eastAsia="x-none"/>
        </w:rPr>
        <w:t>[18]</w:t>
      </w:r>
      <w:r>
        <w:rPr>
          <w:lang w:eastAsia="x-none"/>
        </w:rPr>
        <w:fldChar w:fldCharType="end"/>
      </w:r>
      <w:r>
        <w:rPr>
          <w:lang w:eastAsia="x-none"/>
        </w:rPr>
        <w:t xml:space="preserve"> </w:t>
      </w:r>
    </w:p>
    <w:p w14:paraId="15B4B710" w14:textId="77777777" w:rsidR="00EA567C" w:rsidRDefault="00786B2D">
      <w:pPr>
        <w:pStyle w:val="a9"/>
        <w:numPr>
          <w:ilvl w:val="0"/>
          <w:numId w:val="20"/>
        </w:numPr>
        <w:spacing w:after="60"/>
        <w:contextualSpacing w:val="0"/>
        <w:rPr>
          <w:lang w:eastAsia="x-none"/>
        </w:rPr>
      </w:pPr>
      <w:r>
        <w:rPr>
          <w:lang w:eastAsia="x-none"/>
        </w:rPr>
        <w:t xml:space="preserve">Expiry of failure detection timer </w:t>
      </w:r>
      <w:bookmarkStart w:id="133" w:name="_Hlk74089440"/>
      <w:r>
        <w:rPr>
          <w:lang w:eastAsia="x-none"/>
        </w:rPr>
        <w:fldChar w:fldCharType="begin"/>
      </w:r>
      <w:r>
        <w:rPr>
          <w:lang w:eastAsia="x-none"/>
        </w:rPr>
        <w:instrText xml:space="preserve"> REF _Ref74088838 \r \h  \* MERGEFORMAT </w:instrText>
      </w:r>
      <w:r>
        <w:rPr>
          <w:lang w:eastAsia="x-none"/>
        </w:rPr>
      </w:r>
      <w:r>
        <w:rPr>
          <w:lang w:eastAsia="x-none"/>
        </w:rPr>
        <w:fldChar w:fldCharType="separate"/>
      </w:r>
      <w:r>
        <w:rPr>
          <w:lang w:eastAsia="x-none"/>
        </w:rPr>
        <w:t>[4]</w:t>
      </w:r>
      <w:r>
        <w:rPr>
          <w:lang w:eastAsia="x-none"/>
        </w:rPr>
        <w:fldChar w:fldCharType="end"/>
      </w:r>
      <w:r>
        <w:rPr>
          <w:lang w:eastAsia="x-none"/>
        </w:rPr>
        <w:fldChar w:fldCharType="begin"/>
      </w:r>
      <w:r>
        <w:rPr>
          <w:lang w:eastAsia="x-none"/>
        </w:rPr>
        <w:instrText xml:space="preserve"> REF _Ref74088756 \r \h  \* MERGEFORMAT </w:instrText>
      </w:r>
      <w:r>
        <w:rPr>
          <w:lang w:eastAsia="x-none"/>
        </w:rPr>
      </w:r>
      <w:r>
        <w:rPr>
          <w:lang w:eastAsia="x-none"/>
        </w:rPr>
        <w:fldChar w:fldCharType="separate"/>
      </w:r>
      <w:r>
        <w:rPr>
          <w:lang w:eastAsia="x-none"/>
        </w:rPr>
        <w:t>[8]</w:t>
      </w:r>
      <w:r>
        <w:rPr>
          <w:lang w:eastAsia="x-none"/>
        </w:rPr>
        <w:fldChar w:fldCharType="end"/>
      </w:r>
      <w:r>
        <w:rPr>
          <w:lang w:eastAsia="x-none"/>
        </w:rPr>
        <w:fldChar w:fldCharType="begin"/>
      </w:r>
      <w:r>
        <w:rPr>
          <w:lang w:eastAsia="x-none"/>
        </w:rPr>
        <w:instrText xml:space="preserve"> REF _Ref74088860 \r \h  \* MERGEFORMAT </w:instrText>
      </w:r>
      <w:r>
        <w:rPr>
          <w:lang w:eastAsia="x-none"/>
        </w:rPr>
      </w:r>
      <w:r>
        <w:rPr>
          <w:lang w:eastAsia="x-none"/>
        </w:rPr>
        <w:fldChar w:fldCharType="separate"/>
      </w:r>
      <w:r>
        <w:rPr>
          <w:lang w:eastAsia="x-none"/>
        </w:rPr>
        <w:t>[18]</w:t>
      </w:r>
      <w:r>
        <w:rPr>
          <w:lang w:eastAsia="x-none"/>
        </w:rPr>
        <w:fldChar w:fldCharType="end"/>
      </w:r>
      <w:bookmarkEnd w:id="133"/>
      <w:r>
        <w:rPr>
          <w:lang w:eastAsia="x-none"/>
        </w:rPr>
        <w:fldChar w:fldCharType="begin"/>
      </w:r>
      <w:r>
        <w:rPr>
          <w:lang w:eastAsia="x-none"/>
        </w:rPr>
        <w:instrText xml:space="preserve"> REF _Ref74088907 \r \h  \* MERGEFORMAT </w:instrText>
      </w:r>
      <w:r>
        <w:rPr>
          <w:lang w:eastAsia="x-none"/>
        </w:rPr>
      </w:r>
      <w:r>
        <w:rPr>
          <w:lang w:eastAsia="x-none"/>
        </w:rPr>
        <w:fldChar w:fldCharType="separate"/>
      </w:r>
      <w:r>
        <w:rPr>
          <w:lang w:eastAsia="x-none"/>
        </w:rPr>
        <w:t>[20]</w:t>
      </w:r>
      <w:r>
        <w:rPr>
          <w:lang w:eastAsia="x-none"/>
        </w:rPr>
        <w:fldChar w:fldCharType="end"/>
      </w:r>
    </w:p>
    <w:p w14:paraId="15B4B711" w14:textId="77777777" w:rsidR="00EA567C" w:rsidRDefault="00786B2D">
      <w:pPr>
        <w:pStyle w:val="a9"/>
        <w:numPr>
          <w:ilvl w:val="0"/>
          <w:numId w:val="20"/>
        </w:numPr>
        <w:spacing w:after="60"/>
        <w:contextualSpacing w:val="0"/>
        <w:rPr>
          <w:lang w:eastAsia="x-none"/>
        </w:rPr>
      </w:pPr>
      <w:r>
        <w:t xml:space="preserve">Lower layers indication </w:t>
      </w:r>
      <w:r>
        <w:rPr>
          <w:lang w:eastAsia="x-none"/>
        </w:rPr>
        <w:fldChar w:fldCharType="begin"/>
      </w:r>
      <w:r>
        <w:rPr>
          <w:lang w:eastAsia="x-none"/>
        </w:rPr>
        <w:instrText xml:space="preserve"> REF _Ref74088838 \r \h  \* MERGEFORMAT </w:instrText>
      </w:r>
      <w:r>
        <w:rPr>
          <w:lang w:eastAsia="x-none"/>
        </w:rPr>
      </w:r>
      <w:r>
        <w:rPr>
          <w:lang w:eastAsia="x-none"/>
        </w:rPr>
        <w:fldChar w:fldCharType="separate"/>
      </w:r>
      <w:r>
        <w:rPr>
          <w:lang w:eastAsia="x-none"/>
        </w:rPr>
        <w:t>[4]</w:t>
      </w:r>
      <w:r>
        <w:rPr>
          <w:lang w:eastAsia="x-none"/>
        </w:rPr>
        <w:fldChar w:fldCharType="end"/>
      </w:r>
      <w:r>
        <w:rPr>
          <w:lang w:eastAsia="x-none"/>
        </w:rPr>
        <w:fldChar w:fldCharType="begin"/>
      </w:r>
      <w:r>
        <w:rPr>
          <w:lang w:eastAsia="x-none"/>
        </w:rPr>
        <w:instrText xml:space="preserve"> REF _Ref74088996 \r \h  \* MERGEFORMAT </w:instrText>
      </w:r>
      <w:r>
        <w:rPr>
          <w:lang w:eastAsia="x-none"/>
        </w:rPr>
      </w:r>
      <w:r>
        <w:rPr>
          <w:lang w:eastAsia="x-none"/>
        </w:rPr>
        <w:fldChar w:fldCharType="separate"/>
      </w:r>
      <w:r>
        <w:rPr>
          <w:lang w:eastAsia="x-none"/>
        </w:rPr>
        <w:t>[9]</w:t>
      </w:r>
      <w:r>
        <w:rPr>
          <w:lang w:eastAsia="x-none"/>
        </w:rPr>
        <w:fldChar w:fldCharType="end"/>
      </w:r>
    </w:p>
    <w:p w14:paraId="15B4B712" w14:textId="77777777" w:rsidR="00EA567C" w:rsidRDefault="00786B2D">
      <w:pPr>
        <w:pStyle w:val="a9"/>
        <w:numPr>
          <w:ilvl w:val="0"/>
          <w:numId w:val="20"/>
        </w:numPr>
        <w:spacing w:after="60"/>
        <w:contextualSpacing w:val="0"/>
        <w:rPr>
          <w:lang w:eastAsia="x-none"/>
        </w:rPr>
      </w:pPr>
      <w:r>
        <w:t xml:space="preserve">Maximum number of retransmissions is reached in RLC </w:t>
      </w:r>
      <w:r>
        <w:rPr>
          <w:lang w:eastAsia="x-none"/>
        </w:rPr>
        <w:fldChar w:fldCharType="begin"/>
      </w:r>
      <w:r>
        <w:rPr>
          <w:lang w:eastAsia="x-none"/>
        </w:rPr>
        <w:instrText xml:space="preserve"> REF _Ref74089401 \r \h  \* MERGEFORMAT </w:instrText>
      </w:r>
      <w:r>
        <w:rPr>
          <w:lang w:eastAsia="x-none"/>
        </w:rPr>
      </w:r>
      <w:r>
        <w:rPr>
          <w:lang w:eastAsia="x-none"/>
        </w:rPr>
        <w:fldChar w:fldCharType="separate"/>
      </w:r>
      <w:r>
        <w:rPr>
          <w:lang w:eastAsia="x-none"/>
        </w:rPr>
        <w:t>[15]</w:t>
      </w:r>
      <w:r>
        <w:rPr>
          <w:lang w:eastAsia="x-none"/>
        </w:rPr>
        <w:fldChar w:fldCharType="end"/>
      </w:r>
      <w:r>
        <w:rPr>
          <w:lang w:eastAsia="x-none"/>
        </w:rPr>
        <w:fldChar w:fldCharType="begin"/>
      </w:r>
      <w:r>
        <w:rPr>
          <w:lang w:eastAsia="x-none"/>
        </w:rPr>
        <w:instrText xml:space="preserve"> REF _Ref74088860 \r \h  \* MERGEFORMAT </w:instrText>
      </w:r>
      <w:r>
        <w:rPr>
          <w:lang w:eastAsia="x-none"/>
        </w:rPr>
      </w:r>
      <w:r>
        <w:rPr>
          <w:lang w:eastAsia="x-none"/>
        </w:rPr>
        <w:fldChar w:fldCharType="separate"/>
      </w:r>
      <w:r>
        <w:rPr>
          <w:lang w:eastAsia="x-none"/>
        </w:rPr>
        <w:t>[18]</w:t>
      </w:r>
      <w:r>
        <w:rPr>
          <w:lang w:eastAsia="x-none"/>
        </w:rPr>
        <w:fldChar w:fldCharType="end"/>
      </w:r>
      <w:r>
        <w:rPr>
          <w:lang w:eastAsia="x-none"/>
        </w:rPr>
        <w:t xml:space="preserve"> </w:t>
      </w:r>
    </w:p>
    <w:p w14:paraId="15B4B713" w14:textId="77777777" w:rsidR="00EA567C" w:rsidRDefault="00786B2D">
      <w:pPr>
        <w:pStyle w:val="a9"/>
        <w:numPr>
          <w:ilvl w:val="0"/>
          <w:numId w:val="20"/>
        </w:numPr>
        <w:spacing w:after="60"/>
        <w:contextualSpacing w:val="0"/>
        <w:rPr>
          <w:lang w:eastAsia="x-none"/>
        </w:rPr>
      </w:pPr>
      <w:r>
        <w:rPr>
          <w:lang w:eastAsia="x-none"/>
        </w:rPr>
        <w:t xml:space="preserve">Reject reception during SDT </w:t>
      </w:r>
      <w:r>
        <w:rPr>
          <w:lang w:eastAsia="x-none"/>
        </w:rPr>
        <w:fldChar w:fldCharType="begin"/>
      </w:r>
      <w:r>
        <w:rPr>
          <w:lang w:eastAsia="x-none"/>
        </w:rPr>
        <w:instrText xml:space="preserve"> REF _Ref74088996 \r \h  \* MERGEFORMAT </w:instrText>
      </w:r>
      <w:r>
        <w:rPr>
          <w:lang w:eastAsia="x-none"/>
        </w:rPr>
      </w:r>
      <w:r>
        <w:rPr>
          <w:lang w:eastAsia="x-none"/>
        </w:rPr>
        <w:fldChar w:fldCharType="separate"/>
      </w:r>
      <w:r>
        <w:rPr>
          <w:lang w:eastAsia="x-none"/>
        </w:rPr>
        <w:t>[9]</w:t>
      </w:r>
      <w:r>
        <w:rPr>
          <w:lang w:eastAsia="x-none"/>
        </w:rPr>
        <w:fldChar w:fldCharType="end"/>
      </w:r>
    </w:p>
    <w:p w14:paraId="15B4B714" w14:textId="77777777" w:rsidR="00EA567C" w:rsidRDefault="00786B2D">
      <w:pPr>
        <w:pStyle w:val="a9"/>
        <w:numPr>
          <w:ilvl w:val="0"/>
          <w:numId w:val="20"/>
        </w:numPr>
        <w:spacing w:after="60"/>
        <w:contextualSpacing w:val="0"/>
        <w:rPr>
          <w:lang w:eastAsia="x-none"/>
        </w:rPr>
      </w:pPr>
      <w:r>
        <w:t xml:space="preserve">Abortion of connection establishment by upper layers (need FFS) </w:t>
      </w:r>
      <w:r>
        <w:rPr>
          <w:lang w:eastAsia="x-none"/>
        </w:rPr>
        <w:fldChar w:fldCharType="begin"/>
      </w:r>
      <w:r>
        <w:rPr>
          <w:lang w:eastAsia="x-none"/>
        </w:rPr>
        <w:instrText xml:space="preserve"> REF _Ref74088996 \r \h  \* MERGEFORMAT </w:instrText>
      </w:r>
      <w:r>
        <w:rPr>
          <w:lang w:eastAsia="x-none"/>
        </w:rPr>
      </w:r>
      <w:r>
        <w:rPr>
          <w:lang w:eastAsia="x-none"/>
        </w:rPr>
        <w:fldChar w:fldCharType="separate"/>
      </w:r>
      <w:r>
        <w:rPr>
          <w:lang w:eastAsia="x-none"/>
        </w:rPr>
        <w:t>[9]</w:t>
      </w:r>
      <w:r>
        <w:rPr>
          <w:lang w:eastAsia="x-none"/>
        </w:rPr>
        <w:fldChar w:fldCharType="end"/>
      </w:r>
    </w:p>
    <w:p w14:paraId="15B4B715" w14:textId="77777777" w:rsidR="00EA567C" w:rsidRDefault="00786B2D">
      <w:pPr>
        <w:pStyle w:val="a9"/>
        <w:numPr>
          <w:ilvl w:val="0"/>
          <w:numId w:val="20"/>
        </w:numPr>
        <w:spacing w:after="120"/>
        <w:contextualSpacing w:val="0"/>
      </w:pPr>
      <w:r>
        <w:rPr>
          <w:lang w:eastAsia="x-none"/>
        </w:rPr>
        <w:t>Other events</w:t>
      </w:r>
    </w:p>
    <w:p w14:paraId="15B4B716" w14:textId="77777777" w:rsidR="00EA567C" w:rsidRDefault="00786B2D">
      <w:pPr>
        <w:pStyle w:val="a9"/>
        <w:numPr>
          <w:ilvl w:val="0"/>
          <w:numId w:val="6"/>
        </w:numPr>
        <w:ind w:left="360"/>
        <w:jc w:val="both"/>
        <w:rPr>
          <w:color w:val="A6A6A6" w:themeColor="background1" w:themeShade="A6"/>
        </w:rPr>
      </w:pPr>
      <w:bookmarkStart w:id="134" w:name="_Ref74222528"/>
      <w:bookmarkStart w:id="135" w:name="_Ref73969972"/>
      <w:r>
        <w:rPr>
          <w:color w:val="A6A6A6" w:themeColor="background1" w:themeShade="A6"/>
        </w:rPr>
        <w:t xml:space="preserve">Identify the trigger events that </w:t>
      </w:r>
      <w:r>
        <w:rPr>
          <w:color w:val="A6A6A6" w:themeColor="background1" w:themeShade="A6"/>
          <w:lang w:eastAsia="x-none"/>
        </w:rPr>
        <w:t>leads to an abrupt termination or failure of an ongoing SDT session</w:t>
      </w:r>
      <w:r>
        <w:rPr>
          <w:color w:val="A6A6A6" w:themeColor="background1" w:themeShade="A6"/>
        </w:rPr>
        <w:t>.</w:t>
      </w:r>
      <w:bookmarkEnd w:id="134"/>
      <w:bookmarkEnd w:id="135"/>
    </w:p>
    <w:p w14:paraId="15B4B717" w14:textId="77777777" w:rsidR="00EA567C" w:rsidRDefault="00786B2D">
      <w:pPr>
        <w:pStyle w:val="4"/>
        <w:rPr>
          <w:color w:val="0000CC"/>
        </w:rPr>
      </w:pPr>
      <w:r>
        <w:rPr>
          <w:color w:val="0000CC"/>
          <w:lang w:val="en-US"/>
        </w:rPr>
        <w:fldChar w:fldCharType="begin"/>
      </w:r>
      <w:r>
        <w:rPr>
          <w:color w:val="0000CC"/>
          <w:lang w:val="en-US"/>
        </w:rPr>
        <w:instrText xml:space="preserve"> REF _Ref75005959 \r \h </w:instrText>
      </w:r>
      <w:r>
        <w:rPr>
          <w:color w:val="0000CC"/>
          <w:lang w:val="en-US"/>
        </w:rPr>
      </w:r>
      <w:r>
        <w:rPr>
          <w:color w:val="0000CC"/>
          <w:lang w:val="en-US"/>
        </w:rPr>
        <w:fldChar w:fldCharType="separate"/>
      </w:r>
      <w:r>
        <w:rPr>
          <w:color w:val="0000CC"/>
          <w:lang w:val="en-US"/>
        </w:rPr>
        <w:t>Q.24)</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718"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_Ref75005959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Q.24)</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719" w14:textId="77777777" w:rsidR="00EA567C" w:rsidRDefault="00786B2D">
      <w:pPr>
        <w:pStyle w:val="a9"/>
        <w:numPr>
          <w:ilvl w:val="0"/>
          <w:numId w:val="30"/>
        </w:numPr>
        <w:overflowPunct/>
        <w:autoSpaceDE/>
        <w:autoSpaceDN/>
        <w:adjustRightInd/>
        <w:spacing w:after="120" w:line="259" w:lineRule="auto"/>
        <w:contextualSpacing w:val="0"/>
        <w:jc w:val="both"/>
        <w:rPr>
          <w:color w:val="0000CC"/>
        </w:rPr>
      </w:pPr>
      <w:bookmarkStart w:id="136" w:name="_Ref75005959"/>
      <w:r>
        <w:rPr>
          <w:color w:val="0000CC"/>
        </w:rPr>
        <w:t>Which previous trigger events or new ones can lead to an abrupt termination or failure of an ongoing SDT session?</w:t>
      </w:r>
      <w:bookmarkEnd w:id="136"/>
    </w:p>
    <w:tbl>
      <w:tblPr>
        <w:tblStyle w:val="ab"/>
        <w:tblW w:w="0" w:type="auto"/>
        <w:tblLook w:val="04A0" w:firstRow="1" w:lastRow="0" w:firstColumn="1" w:lastColumn="0" w:noHBand="0" w:noVBand="1"/>
      </w:tblPr>
      <w:tblGrid>
        <w:gridCol w:w="1975"/>
        <w:gridCol w:w="1170"/>
        <w:gridCol w:w="6205"/>
      </w:tblGrid>
      <w:tr w:rsidR="00EA567C" w14:paraId="15B4B71D" w14:textId="77777777">
        <w:tc>
          <w:tcPr>
            <w:tcW w:w="1975" w:type="dxa"/>
            <w:shd w:val="clear" w:color="auto" w:fill="BFBFBF" w:themeFill="background1" w:themeFillShade="BF"/>
          </w:tcPr>
          <w:p w14:paraId="15B4B71A"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71B" w14:textId="77777777" w:rsidR="00EA567C" w:rsidRDefault="00786B2D">
            <w:pPr>
              <w:spacing w:after="0"/>
              <w:jc w:val="center"/>
              <w:rPr>
                <w:b/>
                <w:bCs/>
              </w:rPr>
            </w:pPr>
            <w:r>
              <w:rPr>
                <w:b/>
                <w:bCs/>
              </w:rPr>
              <w:t>Events(s)</w:t>
            </w:r>
          </w:p>
        </w:tc>
        <w:tc>
          <w:tcPr>
            <w:tcW w:w="6205" w:type="dxa"/>
            <w:shd w:val="clear" w:color="auto" w:fill="BFBFBF" w:themeFill="background1" w:themeFillShade="BF"/>
          </w:tcPr>
          <w:p w14:paraId="15B4B71C" w14:textId="77777777" w:rsidR="00EA567C" w:rsidRDefault="00786B2D">
            <w:pPr>
              <w:spacing w:after="0"/>
              <w:jc w:val="center"/>
              <w:rPr>
                <w:b/>
                <w:bCs/>
              </w:rPr>
            </w:pPr>
            <w:r>
              <w:rPr>
                <w:b/>
                <w:bCs/>
              </w:rPr>
              <w:t>Comments, if any</w:t>
            </w:r>
          </w:p>
        </w:tc>
      </w:tr>
      <w:tr w:rsidR="00EA567C" w14:paraId="15B4B721" w14:textId="77777777">
        <w:tc>
          <w:tcPr>
            <w:tcW w:w="1975" w:type="dxa"/>
          </w:tcPr>
          <w:p w14:paraId="15B4B71E" w14:textId="77777777" w:rsidR="00EA567C" w:rsidRDefault="00786B2D">
            <w:pPr>
              <w:spacing w:after="0"/>
            </w:pPr>
            <w:r>
              <w:t>Huawei, HiSilicon</w:t>
            </w:r>
          </w:p>
        </w:tc>
        <w:tc>
          <w:tcPr>
            <w:tcW w:w="1170" w:type="dxa"/>
          </w:tcPr>
          <w:p w14:paraId="15B4B71F" w14:textId="77777777" w:rsidR="00EA567C" w:rsidRDefault="00786B2D">
            <w:pPr>
              <w:spacing w:after="0"/>
            </w:pPr>
            <w:r>
              <w:t>1, 2, 3, 4</w:t>
            </w:r>
          </w:p>
        </w:tc>
        <w:tc>
          <w:tcPr>
            <w:tcW w:w="6205" w:type="dxa"/>
          </w:tcPr>
          <w:p w14:paraId="15B4B720" w14:textId="77777777" w:rsidR="00EA567C" w:rsidRDefault="00786B2D">
            <w:pPr>
              <w:spacing w:after="0"/>
            </w:pPr>
            <w:r>
              <w:t>Cell reselection is not a failure as such, but we need to specify some UE behaviour for this case. Events 2 and 4 can be treated as SDT failure and also require some UE behaviour to be specified. Event 3 would require to specify some form of RS monitoring in lower layers, e.g. to detect beam failure and we think RAN1 should investigate this. Event 5 can be handled as per legacy behaviour and we do not see it as an “SDT failure”. For RRC Resume abortion it was concluded during the last meeting that it should not be captured in specifications, so we can keep it the same way for SDT.</w:t>
            </w:r>
          </w:p>
        </w:tc>
      </w:tr>
      <w:tr w:rsidR="00EA567C" w14:paraId="15B4B725" w14:textId="77777777">
        <w:tc>
          <w:tcPr>
            <w:tcW w:w="1975" w:type="dxa"/>
          </w:tcPr>
          <w:p w14:paraId="15B4B722" w14:textId="77777777" w:rsidR="00EA567C" w:rsidRDefault="00786B2D">
            <w:pPr>
              <w:spacing w:after="0"/>
            </w:pPr>
            <w:r>
              <w:t>ZTE</w:t>
            </w:r>
          </w:p>
        </w:tc>
        <w:tc>
          <w:tcPr>
            <w:tcW w:w="1170" w:type="dxa"/>
          </w:tcPr>
          <w:p w14:paraId="15B4B723" w14:textId="77777777" w:rsidR="00EA567C" w:rsidRDefault="00786B2D">
            <w:pPr>
              <w:spacing w:after="0"/>
            </w:pPr>
            <w:r>
              <w:t>1, 2, 3, 4</w:t>
            </w:r>
          </w:p>
        </w:tc>
        <w:tc>
          <w:tcPr>
            <w:tcW w:w="6205" w:type="dxa"/>
          </w:tcPr>
          <w:p w14:paraId="15B4B724" w14:textId="77777777" w:rsidR="00EA567C" w:rsidRDefault="00786B2D">
            <w:pPr>
              <w:spacing w:after="0"/>
            </w:pPr>
            <w:r>
              <w:t xml:space="preserve">Same view as Huawei on Event 6). Then for Event 5), we have some comments: Considering the data packet may be included in the first UL message (and this is different from legacy reject case), this may lead to some issues with key reuse and hence we propose to not support RRC Reject for SDT. We can discuss this further at next meeting. Events 1-4 seems to be agreeable. </w:t>
            </w:r>
          </w:p>
        </w:tc>
      </w:tr>
      <w:tr w:rsidR="00EA567C" w14:paraId="15B4B731" w14:textId="77777777">
        <w:tc>
          <w:tcPr>
            <w:tcW w:w="1975" w:type="dxa"/>
          </w:tcPr>
          <w:p w14:paraId="15B4B726" w14:textId="77777777" w:rsidR="00EA567C" w:rsidRDefault="00786B2D">
            <w:pPr>
              <w:spacing w:after="0"/>
            </w:pPr>
            <w:r>
              <w:t>InterDigital</w:t>
            </w:r>
          </w:p>
        </w:tc>
        <w:tc>
          <w:tcPr>
            <w:tcW w:w="1170" w:type="dxa"/>
          </w:tcPr>
          <w:p w14:paraId="15B4B727" w14:textId="77777777" w:rsidR="00EA567C" w:rsidRDefault="00786B2D">
            <w:pPr>
              <w:spacing w:after="0"/>
            </w:pPr>
            <w:r>
              <w:t>See comment</w:t>
            </w:r>
          </w:p>
        </w:tc>
        <w:tc>
          <w:tcPr>
            <w:tcW w:w="6205" w:type="dxa"/>
          </w:tcPr>
          <w:p w14:paraId="15B4B728" w14:textId="77777777" w:rsidR="00EA567C" w:rsidRDefault="00786B2D">
            <w:pPr>
              <w:rPr>
                <w:rFonts w:ascii="Calibri" w:hAnsi="Calibri" w:cs="Calibri"/>
                <w:color w:val="000000"/>
                <w:sz w:val="22"/>
                <w:szCs w:val="22"/>
              </w:rPr>
            </w:pPr>
            <w:r>
              <w:t xml:space="preserve">We </w:t>
            </w:r>
            <w:r>
              <w:rPr>
                <w:rFonts w:ascii="Calibri" w:hAnsi="Calibri" w:cs="Calibri"/>
                <w:color w:val="000000"/>
                <w:sz w:val="22"/>
                <w:szCs w:val="22"/>
              </w:rPr>
              <w:t>think each event has different expected behaviour.</w:t>
            </w:r>
          </w:p>
          <w:p w14:paraId="15B4B729" w14:textId="77777777" w:rsidR="00EA567C" w:rsidRDefault="00786B2D">
            <w:pPr>
              <w:pStyle w:val="a9"/>
              <w:numPr>
                <w:ilvl w:val="0"/>
                <w:numId w:val="54"/>
              </w:numPr>
              <w:overflowPunct/>
              <w:autoSpaceDE/>
              <w:autoSpaceDN/>
              <w:adjustRightInd/>
              <w:spacing w:after="60"/>
              <w:contextualSpacing w:val="0"/>
              <w:rPr>
                <w:rFonts w:ascii="Calibri" w:hAnsi="Calibri" w:cs="Calibri"/>
                <w:color w:val="000000"/>
                <w:sz w:val="22"/>
                <w:szCs w:val="22"/>
              </w:rPr>
            </w:pPr>
            <w:r>
              <w:rPr>
                <w:rFonts w:ascii="Calibri" w:hAnsi="Calibri" w:cs="Calibri"/>
                <w:color w:val="000000"/>
                <w:sz w:val="22"/>
                <w:szCs w:val="22"/>
              </w:rPr>
              <w:t>Cell reselection</w:t>
            </w:r>
            <w:r>
              <w:rPr>
                <w:rStyle w:val="apple-converted-space"/>
                <w:rFonts w:ascii="Calibri" w:hAnsi="Calibri" w:cs="Calibri"/>
                <w:color w:val="000000"/>
                <w:sz w:val="22"/>
                <w:szCs w:val="22"/>
              </w:rPr>
              <w:t> </w:t>
            </w:r>
            <w:r>
              <w:rPr>
                <w:rFonts w:ascii="Calibri" w:hAnsi="Calibri" w:cs="Calibri"/>
                <w:color w:val="000000"/>
                <w:sz w:val="22"/>
                <w:szCs w:val="22"/>
              </w:rPr>
              <w:t>[4][7][8][9][14][18]</w:t>
            </w:r>
            <w:r>
              <w:rPr>
                <w:rStyle w:val="apple-converted-space"/>
                <w:rFonts w:ascii="Calibri" w:hAnsi="Calibri" w:cs="Calibri"/>
                <w:color w:val="000000"/>
                <w:sz w:val="22"/>
                <w:szCs w:val="22"/>
              </w:rPr>
              <w:t> </w:t>
            </w:r>
            <w:r>
              <w:rPr>
                <w:rFonts w:ascii="Calibri" w:hAnsi="Calibri" w:cs="Calibri"/>
                <w:color w:val="000000"/>
                <w:sz w:val="22"/>
                <w:szCs w:val="22"/>
              </w:rPr>
              <w:br/>
              <w:t xml:space="preserve">[IDC] For cell reselection during ongoing SDT procedure, UE should remain in INACTIVE and transmits an RRC </w:t>
            </w:r>
            <w:r>
              <w:rPr>
                <w:rFonts w:ascii="Calibri" w:hAnsi="Calibri" w:cs="Calibri"/>
                <w:color w:val="000000"/>
                <w:sz w:val="22"/>
                <w:szCs w:val="22"/>
              </w:rPr>
              <w:lastRenderedPageBreak/>
              <w:t>Resume Request at the new cell (still subject to SA3 confirmation)</w:t>
            </w:r>
          </w:p>
          <w:p w14:paraId="15B4B72A" w14:textId="77777777" w:rsidR="00EA567C" w:rsidRDefault="00786B2D">
            <w:pPr>
              <w:pStyle w:val="a9"/>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Expiry of failure detection timer</w:t>
            </w:r>
            <w:r>
              <w:rPr>
                <w:rStyle w:val="apple-converted-space"/>
                <w:rFonts w:ascii="Calibri" w:hAnsi="Calibri" w:cs="Calibri"/>
                <w:color w:val="000000"/>
                <w:sz w:val="22"/>
                <w:szCs w:val="22"/>
              </w:rPr>
              <w:t> </w:t>
            </w:r>
            <w:r>
              <w:rPr>
                <w:rFonts w:ascii="Calibri" w:hAnsi="Calibri" w:cs="Calibri"/>
                <w:color w:val="000000"/>
                <w:sz w:val="22"/>
                <w:szCs w:val="22"/>
              </w:rPr>
              <w:t>[4][8][18][20]</w:t>
            </w:r>
            <w:r>
              <w:rPr>
                <w:rFonts w:ascii="Calibri" w:hAnsi="Calibri" w:cs="Calibri"/>
                <w:color w:val="000000"/>
                <w:sz w:val="22"/>
                <w:szCs w:val="22"/>
              </w:rPr>
              <w:br/>
              <w:t xml:space="preserve">[IDC] </w:t>
            </w:r>
            <w:r>
              <w:rPr>
                <w:bCs/>
                <w:iCs/>
              </w:rPr>
              <w:t xml:space="preserve">Upon SDT failure detection timer expiry, the UE follows the same procedure as T319 expiry (e.g. UE transitions to IDLE as in the case of expiry of the T319 timer and attempts RRC connection setup). </w:t>
            </w:r>
          </w:p>
          <w:p w14:paraId="15B4B72B" w14:textId="77777777" w:rsidR="00EA567C" w:rsidRDefault="00786B2D">
            <w:pPr>
              <w:pStyle w:val="a9"/>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Lower layers indication</w:t>
            </w:r>
            <w:r>
              <w:rPr>
                <w:rStyle w:val="apple-converted-space"/>
                <w:rFonts w:ascii="Calibri" w:hAnsi="Calibri" w:cs="Calibri"/>
                <w:color w:val="000000"/>
                <w:sz w:val="22"/>
                <w:szCs w:val="22"/>
              </w:rPr>
              <w:t> </w:t>
            </w:r>
            <w:r>
              <w:rPr>
                <w:rFonts w:ascii="Calibri" w:hAnsi="Calibri" w:cs="Calibri"/>
                <w:color w:val="000000"/>
                <w:sz w:val="22"/>
                <w:szCs w:val="22"/>
              </w:rPr>
              <w:t>[4][9]</w:t>
            </w:r>
            <w:r>
              <w:rPr>
                <w:rFonts w:ascii="Calibri" w:hAnsi="Calibri" w:cs="Calibri"/>
                <w:color w:val="000000"/>
                <w:sz w:val="22"/>
                <w:szCs w:val="22"/>
              </w:rPr>
              <w:br/>
              <w:t xml:space="preserve">[IDC] </w:t>
            </w:r>
            <w:r>
              <w:rPr>
                <w:bCs/>
                <w:iCs/>
              </w:rPr>
              <w:t>Upon Lower layer’s failure indication, the UE follows the same procedure as T319 expiry (e.g. UE transitions to IDLE as in the case of expiry of the T319 timer and attempts RRC connection setup).</w:t>
            </w:r>
          </w:p>
          <w:p w14:paraId="15B4B72C" w14:textId="77777777" w:rsidR="00EA567C" w:rsidRDefault="00786B2D">
            <w:pPr>
              <w:pStyle w:val="a9"/>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Maximum number of retransmissions is reached in RLC</w:t>
            </w:r>
            <w:r>
              <w:rPr>
                <w:rStyle w:val="apple-converted-space"/>
                <w:rFonts w:ascii="Calibri" w:hAnsi="Calibri" w:cs="Calibri"/>
                <w:color w:val="000000"/>
                <w:sz w:val="22"/>
                <w:szCs w:val="22"/>
              </w:rPr>
              <w:t> </w:t>
            </w:r>
            <w:r>
              <w:rPr>
                <w:rFonts w:ascii="Calibri" w:hAnsi="Calibri" w:cs="Calibri"/>
                <w:color w:val="000000"/>
                <w:sz w:val="22"/>
                <w:szCs w:val="22"/>
              </w:rPr>
              <w:t>[15][18]</w:t>
            </w:r>
            <w:r>
              <w:rPr>
                <w:rStyle w:val="apple-converted-space"/>
                <w:rFonts w:ascii="Calibri" w:hAnsi="Calibri" w:cs="Calibri"/>
                <w:color w:val="000000"/>
                <w:sz w:val="22"/>
                <w:szCs w:val="22"/>
              </w:rPr>
              <w:t> </w:t>
            </w:r>
            <w:r>
              <w:rPr>
                <w:rFonts w:ascii="Calibri" w:hAnsi="Calibri" w:cs="Calibri"/>
                <w:color w:val="000000"/>
                <w:sz w:val="22"/>
                <w:szCs w:val="22"/>
              </w:rPr>
              <w:br/>
              <w:t>[IDC] It should be handled similar way as RLF. So UE should iniate a cell search and is camped on the suitable cell and then initiate the SDT operation at a new serving cell.</w:t>
            </w:r>
          </w:p>
          <w:p w14:paraId="15B4B72D" w14:textId="77777777" w:rsidR="00EA567C" w:rsidRDefault="00786B2D">
            <w:pPr>
              <w:pStyle w:val="a9"/>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Reject reception during SDT</w:t>
            </w:r>
            <w:r>
              <w:rPr>
                <w:rStyle w:val="apple-converted-space"/>
                <w:rFonts w:ascii="Calibri" w:hAnsi="Calibri" w:cs="Calibri"/>
                <w:color w:val="000000"/>
                <w:sz w:val="22"/>
                <w:szCs w:val="22"/>
              </w:rPr>
              <w:t> </w:t>
            </w:r>
            <w:r>
              <w:rPr>
                <w:rFonts w:ascii="Calibri" w:hAnsi="Calibri" w:cs="Calibri"/>
                <w:color w:val="000000"/>
                <w:sz w:val="22"/>
                <w:szCs w:val="22"/>
              </w:rPr>
              <w:t>[9]</w:t>
            </w:r>
            <w:r>
              <w:rPr>
                <w:rFonts w:ascii="Calibri" w:hAnsi="Calibri" w:cs="Calibri"/>
                <w:color w:val="000000"/>
                <w:sz w:val="22"/>
                <w:szCs w:val="22"/>
              </w:rPr>
              <w:br/>
              <w:t>[IDC] UE aborts the SDT operation and performs the legacy procedure for the case of RRCReject reception  (clear keys and stays in INACTIVE)</w:t>
            </w:r>
          </w:p>
          <w:p w14:paraId="15B4B72E" w14:textId="77777777" w:rsidR="00EA567C" w:rsidRDefault="00786B2D">
            <w:pPr>
              <w:pStyle w:val="a9"/>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Abortion of connection establishment by upper layers (need FFS)</w:t>
            </w:r>
            <w:r>
              <w:rPr>
                <w:rStyle w:val="apple-converted-space"/>
                <w:rFonts w:ascii="Calibri" w:hAnsi="Calibri" w:cs="Calibri"/>
                <w:color w:val="000000"/>
                <w:sz w:val="22"/>
                <w:szCs w:val="22"/>
              </w:rPr>
              <w:t> </w:t>
            </w:r>
            <w:r>
              <w:rPr>
                <w:rFonts w:ascii="Calibri" w:hAnsi="Calibri" w:cs="Calibri"/>
                <w:color w:val="000000"/>
                <w:sz w:val="22"/>
                <w:szCs w:val="22"/>
              </w:rPr>
              <w:t>[9]</w:t>
            </w:r>
            <w:r>
              <w:rPr>
                <w:rFonts w:ascii="Calibri" w:hAnsi="Calibri" w:cs="Calibri"/>
                <w:color w:val="000000"/>
                <w:sz w:val="22"/>
                <w:szCs w:val="22"/>
              </w:rPr>
              <w:br/>
              <w:t>[IDC] ditto</w:t>
            </w:r>
          </w:p>
          <w:p w14:paraId="15B4B72F" w14:textId="77777777" w:rsidR="00EA567C" w:rsidRDefault="00786B2D">
            <w:pPr>
              <w:pStyle w:val="a9"/>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Other events</w:t>
            </w:r>
            <w:r>
              <w:rPr>
                <w:rFonts w:ascii="Calibri" w:hAnsi="Calibri" w:cs="Calibri"/>
                <w:color w:val="000000"/>
                <w:sz w:val="22"/>
                <w:szCs w:val="22"/>
              </w:rPr>
              <w:br/>
              <w:t>[IDC] DL data arrival event at gNB also needs to be addressed.</w:t>
            </w:r>
          </w:p>
          <w:p w14:paraId="15B4B730" w14:textId="77777777" w:rsidR="00EA567C" w:rsidRDefault="00EA567C">
            <w:pPr>
              <w:spacing w:after="0"/>
            </w:pPr>
          </w:p>
        </w:tc>
      </w:tr>
      <w:tr w:rsidR="00EA567C" w14:paraId="15B4B735" w14:textId="77777777">
        <w:tc>
          <w:tcPr>
            <w:tcW w:w="1975" w:type="dxa"/>
          </w:tcPr>
          <w:p w14:paraId="15B4B732" w14:textId="77777777" w:rsidR="00EA567C" w:rsidRDefault="00786B2D">
            <w:pPr>
              <w:spacing w:after="0"/>
            </w:pPr>
            <w:r>
              <w:lastRenderedPageBreak/>
              <w:t>CATT</w:t>
            </w:r>
          </w:p>
        </w:tc>
        <w:tc>
          <w:tcPr>
            <w:tcW w:w="1170" w:type="dxa"/>
          </w:tcPr>
          <w:p w14:paraId="15B4B733" w14:textId="77777777" w:rsidR="00EA567C" w:rsidRDefault="00786B2D">
            <w:pPr>
              <w:spacing w:after="0"/>
            </w:pPr>
            <w:r>
              <w:t>Depends on the conclusion on FFS</w:t>
            </w:r>
          </w:p>
        </w:tc>
        <w:tc>
          <w:tcPr>
            <w:tcW w:w="6205" w:type="dxa"/>
          </w:tcPr>
          <w:p w14:paraId="15B4B734" w14:textId="77777777" w:rsidR="00EA567C" w:rsidRDefault="00786B2D">
            <w:pPr>
              <w:spacing w:after="0"/>
            </w:pPr>
            <w:r>
              <w:t>It is not clear how the failure detection timer works and what lower layer indication is. But we prefer to have a unified UE behaviour if we have concluded an abrupt termination/failure of an SDT session due to some events.</w:t>
            </w:r>
          </w:p>
        </w:tc>
      </w:tr>
      <w:tr w:rsidR="00EA567C" w14:paraId="15B4B73B" w14:textId="77777777">
        <w:tc>
          <w:tcPr>
            <w:tcW w:w="1975" w:type="dxa"/>
          </w:tcPr>
          <w:p w14:paraId="15B4B736" w14:textId="77777777" w:rsidR="00EA567C" w:rsidRDefault="00786B2D">
            <w:pPr>
              <w:spacing w:after="0"/>
              <w:rPr>
                <w:rFonts w:eastAsiaTheme="minorEastAsia"/>
              </w:rPr>
            </w:pPr>
            <w:r>
              <w:rPr>
                <w:rFonts w:eastAsiaTheme="minorEastAsia" w:hint="eastAsia"/>
              </w:rPr>
              <w:t>Samsung</w:t>
            </w:r>
          </w:p>
        </w:tc>
        <w:tc>
          <w:tcPr>
            <w:tcW w:w="1170" w:type="dxa"/>
          </w:tcPr>
          <w:p w14:paraId="15B4B737" w14:textId="77777777" w:rsidR="00EA567C" w:rsidRDefault="00786B2D">
            <w:pPr>
              <w:spacing w:after="0"/>
            </w:pPr>
            <w:r>
              <w:rPr>
                <w:rFonts w:eastAsiaTheme="minorEastAsia" w:hint="eastAsia"/>
              </w:rPr>
              <w:t>1, 2</w:t>
            </w:r>
          </w:p>
        </w:tc>
        <w:tc>
          <w:tcPr>
            <w:tcW w:w="6205" w:type="dxa"/>
          </w:tcPr>
          <w:p w14:paraId="15B4B738" w14:textId="77777777" w:rsidR="00EA567C" w:rsidRDefault="00786B2D">
            <w:pPr>
              <w:spacing w:after="0"/>
              <w:rPr>
                <w:lang w:eastAsia="x-none"/>
              </w:rPr>
            </w:pPr>
            <w:r>
              <w:rPr>
                <w:rFonts w:eastAsiaTheme="minorEastAsia" w:hint="eastAsia"/>
              </w:rPr>
              <w:t xml:space="preserve">3 and 4 are not required to be handled in RRC_INACTIVE, similar to </w:t>
            </w:r>
            <w:r>
              <w:rPr>
                <w:rFonts w:eastAsiaTheme="minorEastAsia"/>
              </w:rPr>
              <w:t>connection</w:t>
            </w:r>
            <w:r>
              <w:rPr>
                <w:rFonts w:eastAsiaTheme="minorEastAsia" w:hint="eastAsia"/>
              </w:rPr>
              <w:t xml:space="preserve"> </w:t>
            </w:r>
            <w:r>
              <w:rPr>
                <w:rFonts w:eastAsiaTheme="minorEastAsia"/>
              </w:rPr>
              <w:t xml:space="preserve">resume procedure. We can simply rely on </w:t>
            </w:r>
            <w:r>
              <w:rPr>
                <w:lang w:eastAsia="x-none"/>
              </w:rPr>
              <w:t>failure detection timer expiry.</w:t>
            </w:r>
          </w:p>
          <w:p w14:paraId="15B4B739" w14:textId="77777777" w:rsidR="00EA567C" w:rsidRDefault="00EA567C">
            <w:pPr>
              <w:spacing w:after="0"/>
              <w:rPr>
                <w:lang w:eastAsia="x-none"/>
              </w:rPr>
            </w:pPr>
          </w:p>
          <w:p w14:paraId="15B4B73A" w14:textId="77777777" w:rsidR="00EA567C" w:rsidRDefault="00786B2D">
            <w:pPr>
              <w:spacing w:after="0"/>
            </w:pPr>
            <w:r>
              <w:rPr>
                <w:lang w:eastAsia="x-none"/>
              </w:rPr>
              <w:t>5 and 6 can be handled as in legacy</w:t>
            </w:r>
          </w:p>
        </w:tc>
      </w:tr>
      <w:tr w:rsidR="00EA567C" w14:paraId="15B4B73F" w14:textId="77777777">
        <w:tc>
          <w:tcPr>
            <w:tcW w:w="1975" w:type="dxa"/>
          </w:tcPr>
          <w:p w14:paraId="15B4B73C" w14:textId="77777777" w:rsidR="00EA567C" w:rsidRDefault="00786B2D">
            <w:pPr>
              <w:spacing w:after="0"/>
              <w:rPr>
                <w:rFonts w:eastAsiaTheme="minorEastAsia"/>
              </w:rPr>
            </w:pPr>
            <w:r>
              <w:rPr>
                <w:rFonts w:eastAsiaTheme="minorEastAsia" w:hint="eastAsia"/>
              </w:rPr>
              <w:t>Fujitsu</w:t>
            </w:r>
          </w:p>
        </w:tc>
        <w:tc>
          <w:tcPr>
            <w:tcW w:w="1170" w:type="dxa"/>
          </w:tcPr>
          <w:p w14:paraId="15B4B73D" w14:textId="77777777" w:rsidR="00EA567C" w:rsidRDefault="00786B2D">
            <w:pPr>
              <w:spacing w:after="0"/>
              <w:rPr>
                <w:rFonts w:eastAsiaTheme="minorEastAsia"/>
              </w:rPr>
            </w:pPr>
            <w:r>
              <w:rPr>
                <w:rFonts w:eastAsiaTheme="minorEastAsia" w:hint="eastAsia"/>
              </w:rPr>
              <w:t>TBD</w:t>
            </w:r>
          </w:p>
        </w:tc>
        <w:tc>
          <w:tcPr>
            <w:tcW w:w="6205" w:type="dxa"/>
          </w:tcPr>
          <w:p w14:paraId="15B4B73E" w14:textId="77777777" w:rsidR="00EA567C" w:rsidRDefault="00786B2D">
            <w:pPr>
              <w:spacing w:after="0"/>
              <w:rPr>
                <w:rFonts w:eastAsiaTheme="minorEastAsia"/>
              </w:rPr>
            </w:pPr>
            <w:r>
              <w:rPr>
                <w:rFonts w:eastAsiaTheme="minorEastAsia" w:hint="eastAsia"/>
              </w:rPr>
              <w:t xml:space="preserve">The failure detection mechanism is not decided yet. </w:t>
            </w:r>
            <w:r>
              <w:rPr>
                <w:rFonts w:eastAsiaTheme="minorEastAsia"/>
              </w:rPr>
              <w:t>Firstly, it should be decided.</w:t>
            </w:r>
          </w:p>
        </w:tc>
      </w:tr>
      <w:tr w:rsidR="00EA567C" w14:paraId="15B4B743" w14:textId="77777777">
        <w:tc>
          <w:tcPr>
            <w:tcW w:w="1975" w:type="dxa"/>
          </w:tcPr>
          <w:p w14:paraId="15B4B740"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741" w14:textId="77777777" w:rsidR="00EA567C" w:rsidRDefault="00786B2D">
            <w:pPr>
              <w:spacing w:after="0"/>
              <w:rPr>
                <w:rFonts w:eastAsia="Malgun Gothic"/>
                <w:lang w:eastAsia="ko-KR"/>
              </w:rPr>
            </w:pPr>
            <w:r>
              <w:rPr>
                <w:rFonts w:eastAsia="Malgun Gothic" w:hint="eastAsia"/>
                <w:lang w:eastAsia="ko-KR"/>
              </w:rPr>
              <w:t>1, 2, 3, 4</w:t>
            </w:r>
          </w:p>
        </w:tc>
        <w:tc>
          <w:tcPr>
            <w:tcW w:w="6205" w:type="dxa"/>
          </w:tcPr>
          <w:p w14:paraId="15B4B742" w14:textId="77777777" w:rsidR="00EA567C" w:rsidRDefault="00786B2D">
            <w:pPr>
              <w:spacing w:after="0"/>
              <w:rPr>
                <w:rFonts w:eastAsia="Malgun Gothic"/>
                <w:lang w:eastAsia="ko-KR"/>
              </w:rPr>
            </w:pPr>
            <w:r>
              <w:rPr>
                <w:rFonts w:eastAsia="Malgun Gothic"/>
                <w:lang w:eastAsia="ko-KR"/>
              </w:rPr>
              <w:t>We are ok not to consider Event 4 because it is very rare case.</w:t>
            </w:r>
          </w:p>
        </w:tc>
      </w:tr>
      <w:tr w:rsidR="002777CB" w14:paraId="53CF225A" w14:textId="77777777">
        <w:tc>
          <w:tcPr>
            <w:tcW w:w="1975" w:type="dxa"/>
          </w:tcPr>
          <w:p w14:paraId="3F54EE69" w14:textId="59FB7080" w:rsidR="002777CB" w:rsidRDefault="002777CB" w:rsidP="002777CB">
            <w:pPr>
              <w:spacing w:after="0"/>
              <w:rPr>
                <w:rFonts w:eastAsia="Malgun Gothic"/>
                <w:lang w:eastAsia="ko-KR"/>
              </w:rPr>
            </w:pPr>
            <w:r>
              <w:t>Intel</w:t>
            </w:r>
          </w:p>
        </w:tc>
        <w:tc>
          <w:tcPr>
            <w:tcW w:w="1170" w:type="dxa"/>
          </w:tcPr>
          <w:p w14:paraId="1E17C36E" w14:textId="77777777" w:rsidR="002777CB" w:rsidRDefault="002777CB" w:rsidP="002777CB">
            <w:pPr>
              <w:spacing w:after="0"/>
            </w:pPr>
            <w:r>
              <w:t>1, 2, 3, 4</w:t>
            </w:r>
          </w:p>
          <w:p w14:paraId="384B0098" w14:textId="77777777" w:rsidR="002777CB" w:rsidRDefault="002777CB" w:rsidP="002777CB">
            <w:pPr>
              <w:spacing w:after="0"/>
              <w:rPr>
                <w:rFonts w:eastAsia="Malgun Gothic"/>
                <w:lang w:eastAsia="ko-KR"/>
              </w:rPr>
            </w:pPr>
          </w:p>
        </w:tc>
        <w:tc>
          <w:tcPr>
            <w:tcW w:w="6205" w:type="dxa"/>
          </w:tcPr>
          <w:p w14:paraId="3062A7E1" w14:textId="10B12024" w:rsidR="002777CB" w:rsidRDefault="002777CB" w:rsidP="002777CB">
            <w:pPr>
              <w:spacing w:after="0"/>
              <w:rPr>
                <w:rFonts w:eastAsia="Malgun Gothic"/>
                <w:lang w:eastAsia="ko-KR"/>
              </w:rPr>
            </w:pPr>
            <w:r>
              <w:t>We understand that event 5) is a termination under network control and therefore should not be categorized/handled as a failure of the SDT session. For event 6), it is not clear when this may be triggered.</w:t>
            </w:r>
          </w:p>
        </w:tc>
      </w:tr>
      <w:tr w:rsidR="00D56910" w14:paraId="60268767" w14:textId="77777777">
        <w:tc>
          <w:tcPr>
            <w:tcW w:w="1975" w:type="dxa"/>
          </w:tcPr>
          <w:p w14:paraId="02F2FE95" w14:textId="4247F82A" w:rsidR="00D56910" w:rsidRDefault="00D56910" w:rsidP="00D56910">
            <w:pPr>
              <w:spacing w:after="0"/>
            </w:pPr>
            <w:r>
              <w:rPr>
                <w:rFonts w:hint="eastAsia"/>
                <w:lang w:eastAsia="zh-CN"/>
              </w:rPr>
              <w:t>N</w:t>
            </w:r>
            <w:r>
              <w:rPr>
                <w:u w:val="single"/>
              </w:rPr>
              <w:t>EC</w:t>
            </w:r>
          </w:p>
        </w:tc>
        <w:tc>
          <w:tcPr>
            <w:tcW w:w="1170" w:type="dxa"/>
          </w:tcPr>
          <w:p w14:paraId="3F1D4AFC" w14:textId="5E083F45" w:rsidR="00D56910" w:rsidRDefault="00D56910" w:rsidP="00D56910">
            <w:pPr>
              <w:spacing w:after="0"/>
            </w:pPr>
            <w:r>
              <w:rPr>
                <w:rFonts w:hint="eastAsia"/>
                <w:lang w:eastAsia="zh-CN"/>
              </w:rPr>
              <w:t>2</w:t>
            </w:r>
            <w:r>
              <w:rPr>
                <w:lang w:eastAsia="zh-CN"/>
              </w:rPr>
              <w:t>, 3, 4, 5</w:t>
            </w:r>
          </w:p>
        </w:tc>
        <w:tc>
          <w:tcPr>
            <w:tcW w:w="6205" w:type="dxa"/>
          </w:tcPr>
          <w:p w14:paraId="7D701600" w14:textId="77777777" w:rsidR="00D56910" w:rsidRDefault="00D56910" w:rsidP="00D56910">
            <w:pPr>
              <w:spacing w:after="0"/>
              <w:rPr>
                <w:lang w:eastAsia="zh-CN"/>
              </w:rPr>
            </w:pPr>
            <w:r>
              <w:rPr>
                <w:rFonts w:hint="eastAsia"/>
                <w:lang w:eastAsia="zh-CN"/>
              </w:rPr>
              <w:t>F</w:t>
            </w:r>
            <w:r>
              <w:rPr>
                <w:lang w:eastAsia="zh-CN"/>
              </w:rPr>
              <w:t>or Event 1), go to IDLE state can be a better option, as SDT procedure is performed above RSRP threshold, cell re-selection during SDT procedure can be a corner case, no strong need for optimization.</w:t>
            </w:r>
          </w:p>
          <w:p w14:paraId="5008F955" w14:textId="77777777" w:rsidR="00D56910" w:rsidRDefault="00D56910" w:rsidP="00D56910">
            <w:pPr>
              <w:spacing w:after="0"/>
            </w:pPr>
            <w:r>
              <w:rPr>
                <w:lang w:eastAsia="zh-CN"/>
              </w:rPr>
              <w:t>For Event 6), d</w:t>
            </w:r>
            <w:r>
              <w:rPr>
                <w:rFonts w:hint="eastAsia"/>
                <w:lang w:eastAsia="zh-CN"/>
              </w:rPr>
              <w:t>uring</w:t>
            </w:r>
            <w:r>
              <w:rPr>
                <w:lang w:eastAsia="zh-CN"/>
              </w:rPr>
              <w:t xml:space="preserve"> </w:t>
            </w:r>
            <w:r>
              <w:rPr>
                <w:rFonts w:hint="eastAsia"/>
                <w:lang w:eastAsia="zh-CN"/>
              </w:rPr>
              <w:t>last</w:t>
            </w:r>
            <w:r>
              <w:rPr>
                <w:lang w:eastAsia="zh-CN"/>
              </w:rPr>
              <w:t xml:space="preserve"> meeting, </w:t>
            </w:r>
            <w:r>
              <w:t>it (</w:t>
            </w:r>
            <w:r w:rsidRPr="00331B35">
              <w:t>[Post114-e][051]</w:t>
            </w:r>
            <w:r>
              <w:t>) was agree that if</w:t>
            </w:r>
            <w:r w:rsidRPr="00017039">
              <w:t xml:space="preserve"> upper layers abort the RRC connection resume procedure after the UE sent  RRCResumeRequest/RRCResumeRequest1 message but not yet entered RRC Connected state, it is up to UE implementation whether to </w:t>
            </w:r>
            <w:r w:rsidRPr="00017039">
              <w:lastRenderedPageBreak/>
              <w:t>move to RRC_IDLE state or continue RRC connection resume procedure.</w:t>
            </w:r>
            <w:r>
              <w:t xml:space="preserve"> So SDT abortion shall not performed.</w:t>
            </w:r>
          </w:p>
          <w:p w14:paraId="61D26982" w14:textId="5702511E" w:rsidR="00D56910" w:rsidRDefault="00D56910" w:rsidP="00AE78A2">
            <w:pPr>
              <w:spacing w:after="0"/>
            </w:pPr>
            <w:r>
              <w:t>For Event 5), if RRCReject is received, the current SDT procedure should be terminated</w:t>
            </w:r>
            <w:r w:rsidR="00AE78A2">
              <w:t xml:space="preserve"> (e.g. suspend SDT RBs, reset MAC etc), which is not performed in legacy </w:t>
            </w:r>
            <w:r w:rsidR="00AE78A2">
              <w:rPr>
                <w:rFonts w:hint="eastAsia"/>
                <w:lang w:eastAsia="zh-CN"/>
              </w:rPr>
              <w:t>RRC</w:t>
            </w:r>
            <w:r w:rsidR="00AE78A2">
              <w:t xml:space="preserve"> Reject procedure</w:t>
            </w:r>
            <w:r w:rsidR="00AE78A2">
              <w:t xml:space="preserve">, and </w:t>
            </w:r>
            <w:r w:rsidR="00AE78A2">
              <w:t>then perform the legacy RRC reject procedure</w:t>
            </w:r>
            <w:r>
              <w:t xml:space="preserve">. </w:t>
            </w:r>
            <w:r w:rsidR="00AE78A2">
              <w:t>And this is also can be seen as an</w:t>
            </w:r>
            <w:r>
              <w:t xml:space="preserve"> </w:t>
            </w:r>
            <w:r w:rsidR="006135BD">
              <w:t xml:space="preserve">“abnormal </w:t>
            </w:r>
            <w:r>
              <w:t>termination</w:t>
            </w:r>
            <w:r w:rsidR="006135BD">
              <w:t>”</w:t>
            </w:r>
            <w:r>
              <w:t xml:space="preserve"> of SDT.</w:t>
            </w:r>
            <w:bookmarkStart w:id="137" w:name="_GoBack"/>
            <w:bookmarkEnd w:id="137"/>
          </w:p>
        </w:tc>
      </w:tr>
    </w:tbl>
    <w:p w14:paraId="15B4B744" w14:textId="77777777" w:rsidR="00EA567C" w:rsidRDefault="00EA567C">
      <w:pPr>
        <w:rPr>
          <w:rFonts w:ascii="Times New Roman" w:hAnsi="Times New Roman" w:cs="Times New Roman"/>
          <w:sz w:val="20"/>
          <w:szCs w:val="20"/>
        </w:rPr>
      </w:pPr>
    </w:p>
    <w:p w14:paraId="15B4B745" w14:textId="77777777" w:rsidR="00EA567C" w:rsidRDefault="00786B2D">
      <w:pPr>
        <w:pStyle w:val="2"/>
      </w:pPr>
      <w:bookmarkStart w:id="138" w:name="_Ref75010368"/>
      <w:r>
        <w:t>UE’s action upon detecting an abrupt termination/failure of an SDT session</w:t>
      </w:r>
      <w:bookmarkEnd w:id="138"/>
      <w:r>
        <w:t xml:space="preserve"> </w:t>
      </w:r>
    </w:p>
    <w:p w14:paraId="15B4B746" w14:textId="77777777" w:rsidR="00EA567C" w:rsidRDefault="00786B2D">
      <w:pPr>
        <w:jc w:val="both"/>
        <w:rPr>
          <w:rFonts w:ascii="Times New Roman" w:eastAsia="宋体" w:hAnsi="Times New Roman" w:cs="Times New Roman"/>
          <w:sz w:val="20"/>
          <w:szCs w:val="20"/>
        </w:rPr>
      </w:pPr>
      <w:r>
        <w:rPr>
          <w:rFonts w:ascii="Times New Roman" w:hAnsi="Times New Roman" w:cs="Times New Roman"/>
          <w:sz w:val="20"/>
          <w:szCs w:val="20"/>
          <w:lang w:eastAsia="x-none"/>
        </w:rPr>
        <w:t xml:space="preserve">It is also discussed by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_Ref74088838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[4]</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_Ref74088860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[18]</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_Ref74088756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[8]</w:t>
      </w:r>
      <w:r>
        <w:rPr>
          <w:rFonts w:ascii="Times New Roman" w:hAnsi="Times New Roman" w:cs="Times New Roman"/>
          <w:sz w:val="20"/>
          <w:szCs w:val="20"/>
          <w:lang w:eastAsia="x-none"/>
        </w:rPr>
        <w:fldChar w:fldCharType="end"/>
      </w:r>
      <w:r>
        <w:rPr>
          <w:rFonts w:ascii="Times New Roman" w:hAnsi="Times New Roman" w:cs="Times New Roman"/>
          <w:sz w:val="20"/>
          <w:szCs w:val="20"/>
        </w:rPr>
        <w:t xml:space="preserve"> whether a common UE behaviour when any of the applicable trigger events from previous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_Ref74222528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Discussion point 13)</w:t>
      </w:r>
      <w:r>
        <w:rPr>
          <w:rFonts w:ascii="Times New Roman" w:hAnsi="Times New Roman" w:cs="Times New Roman"/>
          <w:sz w:val="20"/>
          <w:szCs w:val="20"/>
        </w:rPr>
        <w:fldChar w:fldCharType="end"/>
      </w:r>
      <w:r>
        <w:rPr>
          <w:rFonts w:ascii="Times New Roman" w:hAnsi="Times New Roman" w:cs="Times New Roman"/>
          <w:sz w:val="20"/>
          <w:szCs w:val="20"/>
        </w:rPr>
        <w:t xml:space="preserve"> that lead to an abrupt termination/failure of an SDT session.</w:t>
      </w:r>
    </w:p>
    <w:p w14:paraId="15B4B747" w14:textId="77777777" w:rsidR="00EA567C" w:rsidRDefault="00786B2D">
      <w:pPr>
        <w:pStyle w:val="a9"/>
        <w:numPr>
          <w:ilvl w:val="0"/>
          <w:numId w:val="6"/>
        </w:numPr>
        <w:ind w:left="360"/>
        <w:jc w:val="both"/>
        <w:rPr>
          <w:color w:val="A6A6A6" w:themeColor="background1" w:themeShade="A6"/>
        </w:rPr>
      </w:pPr>
      <w:r>
        <w:rPr>
          <w:color w:val="A6A6A6" w:themeColor="background1" w:themeShade="A6"/>
        </w:rPr>
        <w:t xml:space="preserve">Having a common UE behaviour when any of the applicable trigger events from previous </w:t>
      </w:r>
      <w:r>
        <w:rPr>
          <w:color w:val="A6A6A6" w:themeColor="background1" w:themeShade="A6"/>
        </w:rPr>
        <w:fldChar w:fldCharType="begin"/>
      </w:r>
      <w:r>
        <w:rPr>
          <w:color w:val="A6A6A6" w:themeColor="background1" w:themeShade="A6"/>
        </w:rPr>
        <w:instrText xml:space="preserve"> REF _Ref74222528 \r \h </w:instrText>
      </w:r>
      <w:r>
        <w:rPr>
          <w:color w:val="A6A6A6" w:themeColor="background1" w:themeShade="A6"/>
        </w:rPr>
      </w:r>
      <w:r>
        <w:rPr>
          <w:color w:val="A6A6A6" w:themeColor="background1" w:themeShade="A6"/>
        </w:rPr>
        <w:fldChar w:fldCharType="separate"/>
      </w:r>
      <w:r>
        <w:rPr>
          <w:color w:val="A6A6A6" w:themeColor="background1" w:themeShade="A6"/>
        </w:rPr>
        <w:t>Discussion point 13)</w:t>
      </w:r>
      <w:r>
        <w:rPr>
          <w:color w:val="A6A6A6" w:themeColor="background1" w:themeShade="A6"/>
        </w:rPr>
        <w:fldChar w:fldCharType="end"/>
      </w:r>
      <w:r>
        <w:rPr>
          <w:color w:val="A6A6A6" w:themeColor="background1" w:themeShade="A6"/>
        </w:rPr>
        <w:t xml:space="preserve"> lead to an abrupt termination/failure of an SDT session.</w:t>
      </w:r>
    </w:p>
    <w:p w14:paraId="15B4B748" w14:textId="77777777" w:rsidR="00EA567C" w:rsidRDefault="00786B2D">
      <w:pPr>
        <w:pStyle w:val="3"/>
      </w:pPr>
      <w:r>
        <w:fldChar w:fldCharType="begin"/>
      </w:r>
      <w:r>
        <w:instrText xml:space="preserve"> REF _Ref75005964 \r \h </w:instrText>
      </w:r>
      <w:r>
        <w:fldChar w:fldCharType="separate"/>
      </w:r>
      <w:r>
        <w:t>Q.25)</w:t>
      </w:r>
      <w:r>
        <w:fldChar w:fldCharType="end"/>
      </w:r>
      <w:r>
        <w:t xml:space="preserve"> for 2</w:t>
      </w:r>
      <w:r>
        <w:rPr>
          <w:vertAlign w:val="superscript"/>
        </w:rPr>
        <w:t>nd</w:t>
      </w:r>
      <w:r>
        <w:t xml:space="preserve"> Phase</w:t>
      </w:r>
    </w:p>
    <w:p w14:paraId="15B4B749"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_Ref75005964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Q.25)</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74A" w14:textId="77777777" w:rsidR="00EA567C" w:rsidRDefault="00786B2D">
      <w:pPr>
        <w:pStyle w:val="a9"/>
        <w:numPr>
          <w:ilvl w:val="0"/>
          <w:numId w:val="30"/>
        </w:numPr>
        <w:overflowPunct/>
        <w:autoSpaceDE/>
        <w:autoSpaceDN/>
        <w:adjustRightInd/>
        <w:spacing w:after="120" w:line="259" w:lineRule="auto"/>
        <w:contextualSpacing w:val="0"/>
        <w:jc w:val="both"/>
        <w:rPr>
          <w:color w:val="0000CC"/>
        </w:rPr>
      </w:pPr>
      <w:bookmarkStart w:id="139" w:name="_Ref75005964"/>
      <w:r>
        <w:rPr>
          <w:color w:val="0000CC"/>
        </w:rPr>
        <w:t xml:space="preserve">Do you support aiming to have a common UE behaviour when any of the applicable trigger events from previous </w:t>
      </w:r>
      <w:r>
        <w:rPr>
          <w:color w:val="0000CC"/>
        </w:rPr>
        <w:fldChar w:fldCharType="begin"/>
      </w:r>
      <w:r>
        <w:rPr>
          <w:color w:val="0000CC"/>
        </w:rPr>
        <w:instrText xml:space="preserve"> REF _Ref75005959 \r \h </w:instrText>
      </w:r>
      <w:r>
        <w:rPr>
          <w:color w:val="0000CC"/>
        </w:rPr>
      </w:r>
      <w:r>
        <w:rPr>
          <w:color w:val="0000CC"/>
        </w:rPr>
        <w:fldChar w:fldCharType="separate"/>
      </w:r>
      <w:r>
        <w:rPr>
          <w:color w:val="0000CC"/>
        </w:rPr>
        <w:t>Q.24)</w:t>
      </w:r>
      <w:r>
        <w:rPr>
          <w:color w:val="0000CC"/>
        </w:rPr>
        <w:fldChar w:fldCharType="end"/>
      </w:r>
      <w:r>
        <w:rPr>
          <w:color w:val="0000CC"/>
        </w:rPr>
        <w:t xml:space="preserve"> lead to an abrupt termination/failure of an SDT session?</w:t>
      </w:r>
      <w:bookmarkEnd w:id="139"/>
    </w:p>
    <w:tbl>
      <w:tblPr>
        <w:tblStyle w:val="ab"/>
        <w:tblW w:w="0" w:type="auto"/>
        <w:tblLook w:val="04A0" w:firstRow="1" w:lastRow="0" w:firstColumn="1" w:lastColumn="0" w:noHBand="0" w:noVBand="1"/>
      </w:tblPr>
      <w:tblGrid>
        <w:gridCol w:w="1975"/>
        <w:gridCol w:w="1170"/>
        <w:gridCol w:w="6205"/>
      </w:tblGrid>
      <w:tr w:rsidR="00EA567C" w14:paraId="15B4B74E" w14:textId="77777777">
        <w:tc>
          <w:tcPr>
            <w:tcW w:w="1975" w:type="dxa"/>
            <w:shd w:val="clear" w:color="auto" w:fill="BFBFBF" w:themeFill="background1" w:themeFillShade="BF"/>
          </w:tcPr>
          <w:p w14:paraId="15B4B74B" w14:textId="77777777" w:rsidR="00EA567C" w:rsidRDefault="00786B2D">
            <w:pPr>
              <w:spacing w:after="0"/>
              <w:jc w:val="center"/>
              <w:rPr>
                <w:b/>
                <w:bCs/>
              </w:rPr>
            </w:pPr>
            <w:r>
              <w:rPr>
                <w:b/>
                <w:bCs/>
              </w:rPr>
              <w:t>Company’s name</w:t>
            </w:r>
          </w:p>
        </w:tc>
        <w:tc>
          <w:tcPr>
            <w:tcW w:w="1170" w:type="dxa"/>
            <w:shd w:val="clear" w:color="auto" w:fill="BFBFBF" w:themeFill="background1" w:themeFillShade="BF"/>
          </w:tcPr>
          <w:p w14:paraId="15B4B74C" w14:textId="77777777" w:rsidR="00EA567C" w:rsidRDefault="00786B2D">
            <w:pPr>
              <w:spacing w:after="0"/>
              <w:jc w:val="center"/>
              <w:rPr>
                <w:b/>
                <w:bCs/>
              </w:rPr>
            </w:pPr>
            <w:r>
              <w:rPr>
                <w:b/>
                <w:bCs/>
              </w:rPr>
              <w:t>Yes/No</w:t>
            </w:r>
          </w:p>
        </w:tc>
        <w:tc>
          <w:tcPr>
            <w:tcW w:w="6205" w:type="dxa"/>
            <w:shd w:val="clear" w:color="auto" w:fill="BFBFBF" w:themeFill="background1" w:themeFillShade="BF"/>
          </w:tcPr>
          <w:p w14:paraId="15B4B74D" w14:textId="77777777" w:rsidR="00EA567C" w:rsidRDefault="00786B2D">
            <w:pPr>
              <w:spacing w:after="0"/>
              <w:jc w:val="center"/>
              <w:rPr>
                <w:b/>
                <w:bCs/>
              </w:rPr>
            </w:pPr>
            <w:r>
              <w:rPr>
                <w:b/>
                <w:bCs/>
              </w:rPr>
              <w:t>Justification</w:t>
            </w:r>
          </w:p>
        </w:tc>
      </w:tr>
      <w:tr w:rsidR="00EA567C" w14:paraId="15B4B752" w14:textId="77777777">
        <w:tc>
          <w:tcPr>
            <w:tcW w:w="1975" w:type="dxa"/>
          </w:tcPr>
          <w:p w14:paraId="15B4B74F" w14:textId="77777777" w:rsidR="00EA567C" w:rsidRDefault="00786B2D">
            <w:pPr>
              <w:spacing w:after="0"/>
            </w:pPr>
            <w:r>
              <w:t>Huawei, HiSilicon</w:t>
            </w:r>
          </w:p>
        </w:tc>
        <w:tc>
          <w:tcPr>
            <w:tcW w:w="1170" w:type="dxa"/>
          </w:tcPr>
          <w:p w14:paraId="15B4B750" w14:textId="77777777" w:rsidR="00EA567C" w:rsidRDefault="00786B2D">
            <w:pPr>
              <w:spacing w:after="0"/>
            </w:pPr>
            <w:r>
              <w:t>Yes</w:t>
            </w:r>
          </w:p>
        </w:tc>
        <w:tc>
          <w:tcPr>
            <w:tcW w:w="6205" w:type="dxa"/>
          </w:tcPr>
          <w:p w14:paraId="15B4B751" w14:textId="77777777" w:rsidR="00EA567C" w:rsidRDefault="00786B2D">
            <w:pPr>
              <w:spacing w:after="0"/>
            </w:pPr>
            <w:r>
              <w:t>CCCH-based approach can easily be reused to handle at least cases 1, 2 and 4. This is not possible with DCCH-based approach as DCCH message needs to be sent over a dedicated grant and requires having a stable radio connection.  How to handle event 3 depends on the details of lower layers indication, e.g. how much it resembles the current beam failure indications etc. (which should be decided by RAN1).</w:t>
            </w:r>
          </w:p>
        </w:tc>
      </w:tr>
      <w:tr w:rsidR="00EA567C" w14:paraId="15B4B759" w14:textId="77777777">
        <w:trPr>
          <w:trHeight w:val="43"/>
        </w:trPr>
        <w:tc>
          <w:tcPr>
            <w:tcW w:w="1975" w:type="dxa"/>
          </w:tcPr>
          <w:p w14:paraId="15B4B753" w14:textId="77777777" w:rsidR="00EA567C" w:rsidRDefault="00786B2D">
            <w:pPr>
              <w:spacing w:after="0"/>
            </w:pPr>
            <w:r>
              <w:t>ZTE</w:t>
            </w:r>
          </w:p>
        </w:tc>
        <w:tc>
          <w:tcPr>
            <w:tcW w:w="1170" w:type="dxa"/>
          </w:tcPr>
          <w:p w14:paraId="15B4B754" w14:textId="77777777" w:rsidR="00EA567C" w:rsidRDefault="00786B2D">
            <w:pPr>
              <w:spacing w:after="0"/>
            </w:pPr>
            <w:r>
              <w:t>Yes</w:t>
            </w:r>
          </w:p>
        </w:tc>
        <w:tc>
          <w:tcPr>
            <w:tcW w:w="6205" w:type="dxa"/>
          </w:tcPr>
          <w:p w14:paraId="15B4B755" w14:textId="77777777" w:rsidR="00EA567C" w:rsidRDefault="00786B2D">
            <w:pPr>
              <w:spacing w:after="0"/>
            </w:pPr>
            <w:r>
              <w:t>The common UE behaviour should be either:</w:t>
            </w:r>
          </w:p>
          <w:p w14:paraId="15B4B756" w14:textId="77777777" w:rsidR="00EA567C" w:rsidRDefault="00786B2D">
            <w:pPr>
              <w:pStyle w:val="a9"/>
              <w:numPr>
                <w:ilvl w:val="0"/>
                <w:numId w:val="53"/>
              </w:numPr>
              <w:spacing w:after="0"/>
            </w:pPr>
            <w:r>
              <w:t>UE moves to IDLE mode and informs NAS (e.g. NAS recovery is performed) or</w:t>
            </w:r>
          </w:p>
          <w:p w14:paraId="15B4B757" w14:textId="77777777" w:rsidR="00EA567C" w:rsidRDefault="00786B2D">
            <w:pPr>
              <w:pStyle w:val="a9"/>
              <w:numPr>
                <w:ilvl w:val="0"/>
                <w:numId w:val="53"/>
              </w:numPr>
              <w:spacing w:after="0"/>
            </w:pPr>
            <w:r>
              <w:t xml:space="preserve">UE stays in RRC_INACTIVE state and initiates PDCP reestablishment based approach. </w:t>
            </w:r>
          </w:p>
          <w:p w14:paraId="15B4B758" w14:textId="77777777" w:rsidR="00EA567C" w:rsidRDefault="00786B2D">
            <w:pPr>
              <w:spacing w:after="0"/>
            </w:pPr>
            <w:r>
              <w:t>We prefer option 2). However, we are now a bit concerned that the time remaining in Rel-17 may not be enough for us to solve all the open issues associated with option 2. If we cannot reach a quick consensus on how to handle this, we may have to live with option 1 in Rel-17</w:t>
            </w:r>
          </w:p>
        </w:tc>
      </w:tr>
      <w:tr w:rsidR="00EA567C" w14:paraId="15B4B75D" w14:textId="77777777">
        <w:trPr>
          <w:trHeight w:val="43"/>
        </w:trPr>
        <w:tc>
          <w:tcPr>
            <w:tcW w:w="1975" w:type="dxa"/>
          </w:tcPr>
          <w:p w14:paraId="15B4B75A" w14:textId="77777777" w:rsidR="00EA567C" w:rsidRDefault="00786B2D">
            <w:pPr>
              <w:spacing w:after="0"/>
            </w:pPr>
            <w:r>
              <w:t>InterDigital</w:t>
            </w:r>
          </w:p>
        </w:tc>
        <w:tc>
          <w:tcPr>
            <w:tcW w:w="1170" w:type="dxa"/>
          </w:tcPr>
          <w:p w14:paraId="15B4B75B" w14:textId="77777777" w:rsidR="00EA567C" w:rsidRDefault="00786B2D">
            <w:pPr>
              <w:spacing w:after="0"/>
            </w:pPr>
            <w:r>
              <w:t>No</w:t>
            </w:r>
          </w:p>
        </w:tc>
        <w:tc>
          <w:tcPr>
            <w:tcW w:w="6205" w:type="dxa"/>
          </w:tcPr>
          <w:p w14:paraId="15B4B75C" w14:textId="77777777" w:rsidR="00EA567C" w:rsidRDefault="00786B2D">
            <w:pPr>
              <w:spacing w:after="0"/>
            </w:pPr>
            <w:r>
              <w:t>See our comment for Q.24).</w:t>
            </w:r>
          </w:p>
        </w:tc>
      </w:tr>
      <w:tr w:rsidR="00EA567C" w14:paraId="15B4B761" w14:textId="77777777">
        <w:tc>
          <w:tcPr>
            <w:tcW w:w="1975" w:type="dxa"/>
          </w:tcPr>
          <w:p w14:paraId="15B4B75E" w14:textId="77777777" w:rsidR="00EA567C" w:rsidRDefault="00786B2D">
            <w:pPr>
              <w:spacing w:after="0"/>
            </w:pPr>
            <w:r>
              <w:t>CATT</w:t>
            </w:r>
          </w:p>
        </w:tc>
        <w:tc>
          <w:tcPr>
            <w:tcW w:w="1170" w:type="dxa"/>
          </w:tcPr>
          <w:p w14:paraId="15B4B75F" w14:textId="77777777" w:rsidR="00EA567C" w:rsidRDefault="00786B2D">
            <w:pPr>
              <w:spacing w:after="0"/>
            </w:pPr>
            <w:r>
              <w:t>Yes</w:t>
            </w:r>
          </w:p>
        </w:tc>
        <w:tc>
          <w:tcPr>
            <w:tcW w:w="6205" w:type="dxa"/>
          </w:tcPr>
          <w:p w14:paraId="15B4B760" w14:textId="77777777" w:rsidR="00EA567C" w:rsidRDefault="00786B2D">
            <w:pPr>
              <w:spacing w:after="0"/>
            </w:pPr>
            <w:r>
              <w:t>We prefer to have a unified UE behaviour for all applicable trigger events.</w:t>
            </w:r>
          </w:p>
        </w:tc>
      </w:tr>
      <w:tr w:rsidR="00EA567C" w14:paraId="15B4B765" w14:textId="77777777">
        <w:tc>
          <w:tcPr>
            <w:tcW w:w="1975" w:type="dxa"/>
          </w:tcPr>
          <w:p w14:paraId="15B4B762" w14:textId="77777777" w:rsidR="00EA567C" w:rsidRDefault="00786B2D">
            <w:pPr>
              <w:spacing w:after="0"/>
            </w:pPr>
            <w:r>
              <w:rPr>
                <w:rFonts w:eastAsiaTheme="minorEastAsia" w:hint="eastAsia"/>
              </w:rPr>
              <w:t>Samsung</w:t>
            </w:r>
          </w:p>
        </w:tc>
        <w:tc>
          <w:tcPr>
            <w:tcW w:w="1170" w:type="dxa"/>
          </w:tcPr>
          <w:p w14:paraId="15B4B763" w14:textId="77777777" w:rsidR="00EA567C" w:rsidRDefault="00786B2D">
            <w:pPr>
              <w:spacing w:after="0"/>
            </w:pPr>
            <w:r>
              <w:rPr>
                <w:rFonts w:eastAsiaTheme="minorEastAsia" w:hint="eastAsia"/>
              </w:rPr>
              <w:t>yes</w:t>
            </w:r>
          </w:p>
        </w:tc>
        <w:tc>
          <w:tcPr>
            <w:tcW w:w="6205" w:type="dxa"/>
          </w:tcPr>
          <w:p w14:paraId="15B4B764" w14:textId="77777777" w:rsidR="00EA567C" w:rsidRDefault="00786B2D">
            <w:pPr>
              <w:spacing w:after="0"/>
            </w:pPr>
            <w:r>
              <w:rPr>
                <w:rFonts w:eastAsiaTheme="minorEastAsia"/>
              </w:rPr>
              <w:t>S</w:t>
            </w:r>
            <w:r>
              <w:rPr>
                <w:rFonts w:eastAsiaTheme="minorEastAsia" w:hint="eastAsia"/>
              </w:rPr>
              <w:t xml:space="preserve">tate </w:t>
            </w:r>
            <w:r>
              <w:rPr>
                <w:rFonts w:eastAsiaTheme="minorEastAsia"/>
              </w:rPr>
              <w:t>transition and data loss recovery mechanism can be same</w:t>
            </w:r>
          </w:p>
        </w:tc>
      </w:tr>
      <w:tr w:rsidR="00EA567C" w14:paraId="15B4B769" w14:textId="77777777">
        <w:tc>
          <w:tcPr>
            <w:tcW w:w="1975" w:type="dxa"/>
          </w:tcPr>
          <w:p w14:paraId="15B4B766" w14:textId="77777777" w:rsidR="00EA567C" w:rsidRDefault="00786B2D">
            <w:pPr>
              <w:spacing w:after="0"/>
              <w:rPr>
                <w:rFonts w:eastAsiaTheme="minorEastAsia"/>
              </w:rPr>
            </w:pPr>
            <w:r>
              <w:rPr>
                <w:rFonts w:eastAsiaTheme="minorEastAsia" w:hint="eastAsia"/>
              </w:rPr>
              <w:t>Fujitsu</w:t>
            </w:r>
          </w:p>
        </w:tc>
        <w:tc>
          <w:tcPr>
            <w:tcW w:w="1170" w:type="dxa"/>
          </w:tcPr>
          <w:p w14:paraId="15B4B767" w14:textId="77777777" w:rsidR="00EA567C" w:rsidRDefault="00786B2D">
            <w:pPr>
              <w:spacing w:after="0"/>
              <w:rPr>
                <w:rFonts w:eastAsiaTheme="minorEastAsia"/>
              </w:rPr>
            </w:pPr>
            <w:r>
              <w:rPr>
                <w:rFonts w:eastAsiaTheme="minorEastAsia" w:hint="eastAsia"/>
              </w:rPr>
              <w:t>Yes</w:t>
            </w:r>
          </w:p>
        </w:tc>
        <w:tc>
          <w:tcPr>
            <w:tcW w:w="6205" w:type="dxa"/>
          </w:tcPr>
          <w:p w14:paraId="15B4B768" w14:textId="77777777" w:rsidR="00EA567C" w:rsidRDefault="00786B2D">
            <w:pPr>
              <w:spacing w:after="0"/>
              <w:rPr>
                <w:rFonts w:eastAsiaTheme="minorEastAsia"/>
              </w:rPr>
            </w:pPr>
            <w:r>
              <w:rPr>
                <w:rFonts w:eastAsiaTheme="minorEastAsia" w:hint="eastAsia"/>
              </w:rPr>
              <w:t xml:space="preserve">We think that the starting point is the </w:t>
            </w:r>
            <w:r>
              <w:rPr>
                <w:rFonts w:eastAsiaTheme="minorEastAsia"/>
              </w:rPr>
              <w:t xml:space="preserve">common </w:t>
            </w:r>
            <w:r>
              <w:rPr>
                <w:rFonts w:eastAsiaTheme="minorEastAsia" w:hint="eastAsia"/>
              </w:rPr>
              <w:t>behaviour rather than optimizing behaviour case by case.</w:t>
            </w:r>
          </w:p>
        </w:tc>
      </w:tr>
      <w:tr w:rsidR="00EA567C" w14:paraId="15B4B76D" w14:textId="77777777">
        <w:tc>
          <w:tcPr>
            <w:tcW w:w="1975" w:type="dxa"/>
          </w:tcPr>
          <w:p w14:paraId="15B4B76A" w14:textId="77777777" w:rsidR="00EA567C" w:rsidRDefault="00786B2D">
            <w:pPr>
              <w:spacing w:after="0"/>
              <w:rPr>
                <w:rFonts w:eastAsia="Malgun Gothic"/>
                <w:lang w:eastAsia="ko-KR"/>
              </w:rPr>
            </w:pPr>
            <w:r>
              <w:rPr>
                <w:rFonts w:eastAsia="Malgun Gothic" w:hint="eastAsia"/>
                <w:lang w:eastAsia="ko-KR"/>
              </w:rPr>
              <w:t>LG</w:t>
            </w:r>
          </w:p>
        </w:tc>
        <w:tc>
          <w:tcPr>
            <w:tcW w:w="1170" w:type="dxa"/>
          </w:tcPr>
          <w:p w14:paraId="15B4B76B" w14:textId="77777777" w:rsidR="00EA567C" w:rsidRDefault="00786B2D">
            <w:pPr>
              <w:spacing w:after="0"/>
              <w:rPr>
                <w:rFonts w:eastAsia="Malgun Gothic"/>
                <w:lang w:eastAsia="ko-KR"/>
              </w:rPr>
            </w:pPr>
            <w:r>
              <w:rPr>
                <w:rFonts w:eastAsia="Malgun Gothic" w:hint="eastAsia"/>
                <w:lang w:eastAsia="ko-KR"/>
              </w:rPr>
              <w:t>No</w:t>
            </w:r>
          </w:p>
        </w:tc>
        <w:tc>
          <w:tcPr>
            <w:tcW w:w="6205" w:type="dxa"/>
          </w:tcPr>
          <w:p w14:paraId="15B4B76C" w14:textId="77777777" w:rsidR="00EA567C" w:rsidRDefault="00786B2D">
            <w:pPr>
              <w:spacing w:after="0"/>
              <w:rPr>
                <w:rFonts w:eastAsia="Malgun Gothic"/>
                <w:lang w:eastAsia="ko-KR"/>
              </w:rPr>
            </w:pPr>
            <w:r>
              <w:rPr>
                <w:rFonts w:eastAsia="Malgun Gothic" w:hint="eastAsia"/>
                <w:lang w:eastAsia="ko-KR"/>
              </w:rPr>
              <w:t xml:space="preserve">Events 1~4 can be handled in </w:t>
            </w:r>
            <w:r>
              <w:rPr>
                <w:rFonts w:eastAsia="Malgun Gothic"/>
                <w:lang w:eastAsia="ko-KR"/>
              </w:rPr>
              <w:t xml:space="preserve">a </w:t>
            </w:r>
            <w:r>
              <w:rPr>
                <w:rFonts w:eastAsia="Malgun Gothic" w:hint="eastAsia"/>
                <w:lang w:eastAsia="ko-KR"/>
              </w:rPr>
              <w:t xml:space="preserve">common way. </w:t>
            </w:r>
            <w:r>
              <w:rPr>
                <w:rFonts w:eastAsia="Malgun Gothic"/>
                <w:lang w:eastAsia="ko-KR"/>
              </w:rPr>
              <w:t>However, we are not sure other events can be handled in the common way.</w:t>
            </w:r>
          </w:p>
        </w:tc>
      </w:tr>
      <w:tr w:rsidR="002777CB" w14:paraId="21E36C32" w14:textId="77777777">
        <w:tc>
          <w:tcPr>
            <w:tcW w:w="1975" w:type="dxa"/>
          </w:tcPr>
          <w:p w14:paraId="407CA051" w14:textId="2F765291" w:rsidR="002777CB" w:rsidRDefault="002777CB" w:rsidP="002777CB">
            <w:pPr>
              <w:spacing w:after="0"/>
              <w:rPr>
                <w:rFonts w:eastAsia="Malgun Gothic"/>
                <w:lang w:eastAsia="ko-KR"/>
              </w:rPr>
            </w:pPr>
            <w:r>
              <w:t>Intel</w:t>
            </w:r>
          </w:p>
        </w:tc>
        <w:tc>
          <w:tcPr>
            <w:tcW w:w="1170" w:type="dxa"/>
          </w:tcPr>
          <w:p w14:paraId="081F0C2F" w14:textId="694A5E4A" w:rsidR="002777CB" w:rsidRDefault="002777CB" w:rsidP="002777CB">
            <w:pPr>
              <w:spacing w:after="0"/>
              <w:rPr>
                <w:rFonts w:eastAsia="Malgun Gothic"/>
                <w:lang w:eastAsia="ko-KR"/>
              </w:rPr>
            </w:pPr>
            <w:r>
              <w:t>Yes</w:t>
            </w:r>
          </w:p>
        </w:tc>
        <w:tc>
          <w:tcPr>
            <w:tcW w:w="6205" w:type="dxa"/>
          </w:tcPr>
          <w:p w14:paraId="2A2328DD" w14:textId="65102003" w:rsidR="002777CB" w:rsidRDefault="002777CB" w:rsidP="002777CB">
            <w:pPr>
              <w:spacing w:after="0"/>
              <w:rPr>
                <w:rFonts w:eastAsia="Malgun Gothic"/>
                <w:lang w:eastAsia="ko-KR"/>
              </w:rPr>
            </w:pPr>
            <w:r>
              <w:t xml:space="preserve">We support handling the same handling for any of the abrupt termination/failures of an SDT session. </w:t>
            </w:r>
          </w:p>
        </w:tc>
      </w:tr>
      <w:tr w:rsidR="00D56910" w14:paraId="05D4D73E" w14:textId="77777777">
        <w:tc>
          <w:tcPr>
            <w:tcW w:w="1975" w:type="dxa"/>
          </w:tcPr>
          <w:p w14:paraId="42123901" w14:textId="728552FC" w:rsidR="00D56910" w:rsidRDefault="00D56910" w:rsidP="00D56910">
            <w:pPr>
              <w:spacing w:after="0"/>
            </w:pPr>
            <w:r>
              <w:rPr>
                <w:rFonts w:hint="eastAsia"/>
                <w:lang w:eastAsia="zh-CN"/>
              </w:rPr>
              <w:t>N</w:t>
            </w:r>
            <w:r>
              <w:rPr>
                <w:lang w:eastAsia="zh-CN"/>
              </w:rPr>
              <w:t>EC</w:t>
            </w:r>
          </w:p>
        </w:tc>
        <w:tc>
          <w:tcPr>
            <w:tcW w:w="1170" w:type="dxa"/>
          </w:tcPr>
          <w:p w14:paraId="5021C28A" w14:textId="7FCD7922" w:rsidR="00D56910" w:rsidRDefault="00D56910" w:rsidP="00D56910">
            <w:pPr>
              <w:spacing w:after="0"/>
            </w:pPr>
            <w:r>
              <w:t>Yes</w:t>
            </w:r>
          </w:p>
        </w:tc>
        <w:tc>
          <w:tcPr>
            <w:tcW w:w="6205" w:type="dxa"/>
          </w:tcPr>
          <w:p w14:paraId="3A31068B" w14:textId="08ACF821" w:rsidR="00D56910" w:rsidRDefault="00D56910" w:rsidP="00D56910">
            <w:pPr>
              <w:spacing w:after="0"/>
            </w:pPr>
            <w:r>
              <w:rPr>
                <w:rFonts w:hint="eastAsia"/>
                <w:lang w:eastAsia="zh-CN"/>
              </w:rPr>
              <w:t>W</w:t>
            </w:r>
            <w:r>
              <w:rPr>
                <w:lang w:eastAsia="zh-CN"/>
              </w:rPr>
              <w:t>e prefer to have unified solution for all the events, and CCCH-like mechanism can be reused.</w:t>
            </w:r>
          </w:p>
        </w:tc>
      </w:tr>
    </w:tbl>
    <w:p w14:paraId="15B4B76E" w14:textId="77777777" w:rsidR="00EA567C" w:rsidRDefault="00EA567C">
      <w:pPr>
        <w:rPr>
          <w:rFonts w:ascii="Times New Roman" w:hAnsi="Times New Roman" w:cs="Times New Roman"/>
          <w:sz w:val="20"/>
          <w:szCs w:val="20"/>
        </w:rPr>
      </w:pPr>
    </w:p>
    <w:p w14:paraId="15B4B76F"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lastRenderedPageBreak/>
        <w:t>The following approaches are proposed when having to handle abrupt termination/failure of an SDT session:</w:t>
      </w:r>
    </w:p>
    <w:p w14:paraId="15B4B770" w14:textId="77777777" w:rsidR="00EA567C" w:rsidRDefault="00786B2D">
      <w:pPr>
        <w:pStyle w:val="a9"/>
        <w:numPr>
          <w:ilvl w:val="0"/>
          <w:numId w:val="23"/>
        </w:numPr>
        <w:spacing w:after="60"/>
        <w:contextualSpacing w:val="0"/>
        <w:jc w:val="both"/>
      </w:pPr>
      <w:r>
        <w:t xml:space="preserve">  UE </w:t>
      </w:r>
      <w:bookmarkStart w:id="140" w:name="_Hlk75174134"/>
      <w:r>
        <w:t>transitions autonomously into RRC_IDLE</w:t>
      </w:r>
      <w:bookmarkEnd w:id="140"/>
      <w:r>
        <w:t xml:space="preserve">. </w:t>
      </w:r>
    </w:p>
    <w:p w14:paraId="15B4B771" w14:textId="77777777" w:rsidR="00EA567C" w:rsidRDefault="00786B2D">
      <w:pPr>
        <w:pStyle w:val="a9"/>
        <w:numPr>
          <w:ilvl w:val="0"/>
          <w:numId w:val="23"/>
        </w:numPr>
        <w:jc w:val="both"/>
      </w:pPr>
      <w:r>
        <w:t xml:space="preserve">  UE remains in RRC_INACTIVE. </w:t>
      </w:r>
    </w:p>
    <w:p w14:paraId="15B4B772"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For example, for cell reselection trigger event, approach 1) is proposed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_Ref74088868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_Ref74088974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[14]</w:t>
      </w:r>
      <w:r>
        <w:rPr>
          <w:rFonts w:ascii="Times New Roman" w:hAnsi="Times New Roman" w:cs="Times New Roman"/>
          <w:sz w:val="20"/>
          <w:szCs w:val="20"/>
        </w:rPr>
        <w:fldChar w:fldCharType="end"/>
      </w:r>
      <w:r>
        <w:rPr>
          <w:rFonts w:ascii="Times New Roman" w:hAnsi="Times New Roman" w:cs="Times New Roman"/>
          <w:sz w:val="20"/>
          <w:szCs w:val="20"/>
        </w:rPr>
        <w:t xml:space="preserve"> and approach 2)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_Ref74089279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[7]</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_Ref74088986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_Ref74089511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[21]</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_Ref74088838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[4]</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_Ref74089528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[10]</w:t>
      </w:r>
      <w:r>
        <w:rPr>
          <w:rFonts w:ascii="Times New Roman" w:hAnsi="Times New Roman" w:cs="Times New Roman"/>
          <w:sz w:val="20"/>
          <w:szCs w:val="20"/>
        </w:rPr>
        <w:fldChar w:fldCharType="end"/>
      </w:r>
      <w:r>
        <w:rPr>
          <w:rFonts w:ascii="Times New Roman" w:hAnsi="Times New Roman" w:cs="Times New Roman"/>
          <w:sz w:val="20"/>
          <w:szCs w:val="20"/>
        </w:rPr>
        <w:t>. The following sub-sections aims to clarify how each approach may work taken into consideration the inputs from proposing companies. The following sub-sections aims to clarify how the approach 2) may work taken into consideration the inputs from proposing companies.</w:t>
      </w:r>
    </w:p>
    <w:p w14:paraId="15B4B773" w14:textId="77777777" w:rsidR="00EA567C" w:rsidRDefault="00EA567C"/>
    <w:p w14:paraId="15B4B774" w14:textId="77777777" w:rsidR="00EA567C" w:rsidRDefault="00786B2D">
      <w:pPr>
        <w:pStyle w:val="3"/>
      </w:pPr>
      <w:r>
        <w:t xml:space="preserve">Approach 2) UE remains in RRC_INACTIVE </w:t>
      </w:r>
    </w:p>
    <w:p w14:paraId="15B4B775"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lang w:eastAsia="x-none"/>
        </w:rPr>
        <w:t xml:space="preserve">This section aims to clarify how approach 2) would work like, i.e. UE remains in RRC_INACTIVE upon detecting an abrupt termination/failure of an SDT session. The motivation to enable this mechanism is to </w:t>
      </w:r>
      <w:r>
        <w:rPr>
          <w:rFonts w:ascii="Times New Roman" w:hAnsi="Times New Roman" w:cs="Times New Roman"/>
          <w:sz w:val="20"/>
          <w:szCs w:val="20"/>
        </w:rPr>
        <w:t xml:space="preserve">guarantee data continuity, and minimize/prevent data loss and duplication of the ongoing SDT session. Upon detecting this failure, the UE shall immediately initiate a sub-sequent access. It is important to keep in mind that the feasibility of this approach 2) depends on the inputs to be provided by SA3 in relation to the security related LS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_Ref74222895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[23]</w:t>
      </w:r>
      <w:r>
        <w:rPr>
          <w:rFonts w:ascii="Times New Roman" w:hAnsi="Times New Roman" w:cs="Times New Roman"/>
          <w:sz w:val="20"/>
          <w:szCs w:val="20"/>
        </w:rPr>
        <w:fldChar w:fldCharType="end"/>
      </w:r>
      <w:r>
        <w:rPr>
          <w:rFonts w:ascii="Times New Roman" w:hAnsi="Times New Roman" w:cs="Times New Roman"/>
          <w:sz w:val="20"/>
          <w:szCs w:val="20"/>
        </w:rPr>
        <w:t xml:space="preserve"> sent by RAN2.</w:t>
      </w:r>
    </w:p>
    <w:p w14:paraId="15B4B776" w14:textId="77777777" w:rsidR="00EA567C" w:rsidRDefault="00786B2D">
      <w:pPr>
        <w:pStyle w:val="observ"/>
        <w:ind w:left="360"/>
      </w:pPr>
      <w:r>
        <w:t>U</w:t>
      </w:r>
      <w:r>
        <w:rPr>
          <w:lang w:eastAsia="x-none"/>
        </w:rPr>
        <w:t>pon UE detects an abrupt termination/failure of an SDT session and remains into legacy RRC_INACTIVE, the UE shall immediately initiate a request to resume the suspended RRC connection or to (re)start the SDT session</w:t>
      </w:r>
    </w:p>
    <w:p w14:paraId="15B4B777"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This sub-sequent access after the failure (referred for this discussion as “recovery solution”) is explained by supporting companies from different angles and levels of details. For example:</w:t>
      </w:r>
    </w:p>
    <w:p w14:paraId="15B4B778" w14:textId="77777777" w:rsidR="00EA567C" w:rsidRDefault="00786B2D">
      <w:pPr>
        <w:pStyle w:val="a9"/>
        <w:numPr>
          <w:ilvl w:val="0"/>
          <w:numId w:val="21"/>
        </w:numPr>
        <w:spacing w:after="60"/>
        <w:contextualSpacing w:val="0"/>
        <w:jc w:val="both"/>
      </w:pPr>
      <w:r>
        <w:rPr>
          <w:b/>
          <w:bCs/>
        </w:rPr>
        <w:t xml:space="preserve">Recovery solution 0) </w:t>
      </w:r>
      <w:r>
        <w:t xml:space="preserve">UE suspends SDT DRBs and PDCP entities upon failure and performs SDT/RRC Resume procedure in the reselected new cell </w:t>
      </w:r>
      <w:r>
        <w:fldChar w:fldCharType="begin"/>
      </w:r>
      <w:r>
        <w:instrText xml:space="preserve"> REF _Ref74088823 \r \h </w:instrText>
      </w:r>
      <w:r>
        <w:fldChar w:fldCharType="separate"/>
      </w:r>
      <w:r>
        <w:t>[12]</w:t>
      </w:r>
      <w:r>
        <w:fldChar w:fldCharType="end"/>
      </w:r>
      <w:r>
        <w:fldChar w:fldCharType="begin"/>
      </w:r>
      <w:r>
        <w:instrText xml:space="preserve"> REF _Ref74088907 \r \h </w:instrText>
      </w:r>
      <w:r>
        <w:fldChar w:fldCharType="separate"/>
      </w:r>
      <w:r>
        <w:t>[20]</w:t>
      </w:r>
      <w:r>
        <w:fldChar w:fldCharType="end"/>
      </w:r>
      <w:r>
        <w:fldChar w:fldCharType="begin"/>
      </w:r>
      <w:r>
        <w:instrText xml:space="preserve"> REF _Ref74089279 \r \h </w:instrText>
      </w:r>
      <w:r>
        <w:fldChar w:fldCharType="separate"/>
      </w:r>
      <w:r>
        <w:t>[7]</w:t>
      </w:r>
      <w:r>
        <w:fldChar w:fldCharType="end"/>
      </w:r>
      <w:r>
        <w:fldChar w:fldCharType="begin"/>
      </w:r>
      <w:r>
        <w:instrText xml:space="preserve"> REF _Ref74088986 \r \h </w:instrText>
      </w:r>
      <w:r>
        <w:fldChar w:fldCharType="separate"/>
      </w:r>
      <w:r>
        <w:t>[13]</w:t>
      </w:r>
      <w:r>
        <w:fldChar w:fldCharType="end"/>
      </w:r>
      <w:r>
        <w:t>.</w:t>
      </w:r>
    </w:p>
    <w:p w14:paraId="15B4B779" w14:textId="77777777" w:rsidR="00EA567C" w:rsidRDefault="00786B2D">
      <w:pPr>
        <w:pStyle w:val="a9"/>
        <w:numPr>
          <w:ilvl w:val="0"/>
          <w:numId w:val="21"/>
        </w:numPr>
        <w:spacing w:after="60"/>
        <w:contextualSpacing w:val="0"/>
        <w:jc w:val="both"/>
      </w:pPr>
      <w:r>
        <w:rPr>
          <w:b/>
          <w:bCs/>
        </w:rPr>
        <w:t xml:space="preserve">Recovery solution 1) </w:t>
      </w:r>
      <w:r>
        <w:t xml:space="preserve">serving gNB provides a new NCC and I-RNTI upon initiating any SDT mechanism (i.e. 1st DL SDT msg) for future use after current SDT session ends or terminates </w:t>
      </w:r>
      <w:r>
        <w:fldChar w:fldCharType="begin"/>
      </w:r>
      <w:r>
        <w:instrText xml:space="preserve"> REF _Ref74088838 \r \h </w:instrText>
      </w:r>
      <w:r>
        <w:fldChar w:fldCharType="separate"/>
      </w:r>
      <w:r>
        <w:t>[4]</w:t>
      </w:r>
      <w:r>
        <w:fldChar w:fldCharType="end"/>
      </w:r>
      <w:r>
        <w:fldChar w:fldCharType="begin"/>
      </w:r>
      <w:r>
        <w:instrText xml:space="preserve"> REF _Ref74088974 \r \h </w:instrText>
      </w:r>
      <w:r>
        <w:fldChar w:fldCharType="separate"/>
      </w:r>
      <w:r>
        <w:t>[14]</w:t>
      </w:r>
      <w:r>
        <w:fldChar w:fldCharType="end"/>
      </w:r>
      <w:r>
        <w:t>.</w:t>
      </w:r>
    </w:p>
    <w:p w14:paraId="15B4B77A" w14:textId="77777777" w:rsidR="00EA567C" w:rsidRDefault="00786B2D">
      <w:pPr>
        <w:pStyle w:val="a9"/>
        <w:numPr>
          <w:ilvl w:val="0"/>
          <w:numId w:val="21"/>
        </w:numPr>
        <w:spacing w:after="60"/>
        <w:contextualSpacing w:val="0"/>
        <w:jc w:val="both"/>
      </w:pPr>
      <w:r>
        <w:rPr>
          <w:b/>
          <w:bCs/>
        </w:rPr>
        <w:t xml:space="preserve">Recovery solution 2) </w:t>
      </w:r>
      <w:r>
        <w:t xml:space="preserve">gNB provides new NCC/RNTI immediately after an abrupt termination of the SDT session with UE’s behaviour aligned with RRC Reestablishment message operation continuing the SDT session in RRC_INACTIVE </w:t>
      </w:r>
      <w:r>
        <w:fldChar w:fldCharType="begin"/>
      </w:r>
      <w:r>
        <w:instrText xml:space="preserve"> REF _Ref74088838 \r \h  \* MERGEFORMAT </w:instrText>
      </w:r>
      <w:r>
        <w:fldChar w:fldCharType="separate"/>
      </w:r>
      <w:r>
        <w:t>[4]</w:t>
      </w:r>
      <w:r>
        <w:fldChar w:fldCharType="end"/>
      </w:r>
      <w:r>
        <w:t>.</w:t>
      </w:r>
    </w:p>
    <w:p w14:paraId="15B4B77B" w14:textId="77777777" w:rsidR="00EA567C" w:rsidRDefault="00786B2D">
      <w:pPr>
        <w:pStyle w:val="a9"/>
        <w:numPr>
          <w:ilvl w:val="0"/>
          <w:numId w:val="21"/>
        </w:numPr>
        <w:spacing w:after="60"/>
        <w:contextualSpacing w:val="0"/>
        <w:jc w:val="both"/>
      </w:pPr>
      <w:r>
        <w:rPr>
          <w:b/>
          <w:bCs/>
        </w:rPr>
        <w:t>Recovery solution 3)</w:t>
      </w:r>
      <w:r>
        <w:t xml:space="preserve"> UE uses horizonal key derivation for the recovery mechanism after an abrupt termination of an SDT session (where data uses this new key but short MAC-I may still be calculated based on the stored key) </w:t>
      </w:r>
      <w:r>
        <w:fldChar w:fldCharType="begin"/>
      </w:r>
      <w:r>
        <w:instrText xml:space="preserve"> REF _Ref74088838 \r \h </w:instrText>
      </w:r>
      <w:r>
        <w:fldChar w:fldCharType="separate"/>
      </w:r>
      <w:r>
        <w:t>[4]</w:t>
      </w:r>
      <w:r>
        <w:fldChar w:fldCharType="end"/>
      </w:r>
      <w:r>
        <w:t>.</w:t>
      </w:r>
    </w:p>
    <w:p w14:paraId="15B4B77C" w14:textId="77777777" w:rsidR="00EA567C" w:rsidRDefault="00786B2D">
      <w:pPr>
        <w:pStyle w:val="a9"/>
        <w:numPr>
          <w:ilvl w:val="0"/>
          <w:numId w:val="21"/>
        </w:numPr>
        <w:spacing w:after="60"/>
        <w:contextualSpacing w:val="0"/>
        <w:jc w:val="both"/>
      </w:pPr>
      <w:r>
        <w:rPr>
          <w:b/>
          <w:bCs/>
        </w:rPr>
        <w:t xml:space="preserve">Recovery solution 4) </w:t>
      </w:r>
      <w:r>
        <w:t xml:space="preserve">Assuming that SA3 informs that NCC and I-RNTI can be reused in a different cell, the recovery solution for cell reselection case works as follows </w:t>
      </w:r>
      <w:r>
        <w:fldChar w:fldCharType="begin"/>
      </w:r>
      <w:r>
        <w:instrText xml:space="preserve"> REF _Ref74088974 \r \h </w:instrText>
      </w:r>
      <w:r>
        <w:fldChar w:fldCharType="separate"/>
      </w:r>
      <w:r>
        <w:t>[14]</w:t>
      </w:r>
      <w:r>
        <w:fldChar w:fldCharType="end"/>
      </w:r>
      <w:r>
        <w:fldChar w:fldCharType="begin"/>
      </w:r>
      <w:r>
        <w:instrText xml:space="preserve"> REF _Ref74088860 \r \h </w:instrText>
      </w:r>
      <w:r>
        <w:fldChar w:fldCharType="separate"/>
      </w:r>
      <w:r>
        <w:t>[18]</w:t>
      </w:r>
      <w:r>
        <w:fldChar w:fldCharType="end"/>
      </w:r>
      <w:r>
        <w:t xml:space="preserve">: </w:t>
      </w:r>
    </w:p>
    <w:p w14:paraId="15B4B77D" w14:textId="77777777" w:rsidR="00EA567C" w:rsidRDefault="00786B2D">
      <w:pPr>
        <w:pStyle w:val="a9"/>
        <w:numPr>
          <w:ilvl w:val="1"/>
          <w:numId w:val="22"/>
        </w:numPr>
        <w:spacing w:after="60"/>
        <w:contextualSpacing w:val="0"/>
        <w:jc w:val="both"/>
      </w:pPr>
      <w:r>
        <w:t xml:space="preserve">The </w:t>
      </w:r>
      <w:r>
        <w:rPr>
          <w:i/>
          <w:iCs/>
        </w:rPr>
        <w:t>RRCResumeRequest</w:t>
      </w:r>
      <w:r>
        <w:t xml:space="preserve"> is routed to the old anchor gNB and the old anchor gNB shall be able to verify the UE and generate new keys irrespective of whether anchor relocation and path switch happens before in the SDT session – needs to be checked with RAN3</w:t>
      </w:r>
    </w:p>
    <w:p w14:paraId="15B4B77E" w14:textId="77777777" w:rsidR="00EA567C" w:rsidRDefault="00786B2D">
      <w:pPr>
        <w:pStyle w:val="a9"/>
        <w:numPr>
          <w:ilvl w:val="1"/>
          <w:numId w:val="22"/>
        </w:numPr>
        <w:spacing w:after="60"/>
        <w:contextualSpacing w:val="0"/>
        <w:jc w:val="both"/>
      </w:pPr>
      <w:r>
        <w:t>The new key is derived for the new cell (using the same NCC and the KgNB in the stored UE inactive context, but using new PCI/ARFCN)</w:t>
      </w:r>
    </w:p>
    <w:p w14:paraId="15B4B77F" w14:textId="77777777" w:rsidR="00EA567C" w:rsidRDefault="00786B2D">
      <w:pPr>
        <w:pStyle w:val="a9"/>
        <w:numPr>
          <w:ilvl w:val="1"/>
          <w:numId w:val="22"/>
        </w:numPr>
        <w:spacing w:after="120"/>
        <w:contextualSpacing w:val="0"/>
        <w:jc w:val="both"/>
      </w:pPr>
      <w:r>
        <w:t>PDCP based recovery mechanism is used to recover the lost/unacknowledged data whilst the UE Stays in RRC_INACTIVE state</w:t>
      </w:r>
    </w:p>
    <w:p w14:paraId="15B4B780"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On summary, the recovery solutions 1)-4) explained above aim to define a mechanism that address the following concerns:</w:t>
      </w:r>
    </w:p>
    <w:p w14:paraId="15B4B781" w14:textId="77777777" w:rsidR="00EA567C" w:rsidRDefault="00786B2D">
      <w:pPr>
        <w:pStyle w:val="a9"/>
        <w:numPr>
          <w:ilvl w:val="0"/>
          <w:numId w:val="22"/>
        </w:numPr>
        <w:spacing w:after="60"/>
        <w:contextualSpacing w:val="0"/>
      </w:pPr>
      <w:r>
        <w:t xml:space="preserve">Security concerns, such as, b.1) if new NCC is not provided after the failure of the SDT session, b.2) the NCC to be used for the follow up </w:t>
      </w:r>
      <w:r>
        <w:rPr>
          <w:i/>
          <w:iCs/>
        </w:rPr>
        <w:t>RRCResumeRequest</w:t>
      </w:r>
      <w:r>
        <w:t xml:space="preserve"> in the recovery, and b.3) if the Data PDCP COUNT reset as the same key cannot be used with same count. </w:t>
      </w:r>
    </w:p>
    <w:p w14:paraId="15B4B782" w14:textId="77777777" w:rsidR="00EA567C" w:rsidRDefault="00786B2D">
      <w:pPr>
        <w:pStyle w:val="a9"/>
        <w:numPr>
          <w:ilvl w:val="0"/>
          <w:numId w:val="22"/>
        </w:numPr>
        <w:rPr>
          <w:lang w:val="x-none"/>
        </w:rPr>
      </w:pPr>
      <w:r>
        <w:lastRenderedPageBreak/>
        <w:t>Concerns of additional delay or even confusion when looking for the gNB where UE’s context was previously stored. I.e. I-RNTI stored in UE points to the anchor gNB when the new serving gNB has a copy of the UE AS context or is actually already relocated.</w:t>
      </w:r>
    </w:p>
    <w:p w14:paraId="15B4B783"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These concerns are common to some of the ones discussed in previous section sections, therefore the suggestion is to discuss them for the failure handling scenario keeping in mind the details/options provided in the corresponding previous points.</w:t>
      </w:r>
    </w:p>
    <w:p w14:paraId="15B4B784" w14:textId="77777777" w:rsidR="00EA567C" w:rsidRDefault="00786B2D">
      <w:pPr>
        <w:pStyle w:val="a9"/>
        <w:numPr>
          <w:ilvl w:val="0"/>
          <w:numId w:val="6"/>
        </w:numPr>
        <w:spacing w:after="60"/>
        <w:ind w:left="360"/>
        <w:contextualSpacing w:val="0"/>
        <w:jc w:val="both"/>
        <w:rPr>
          <w:color w:val="A6A6A6" w:themeColor="background1" w:themeShade="A6"/>
        </w:rPr>
      </w:pPr>
      <w:r>
        <w:rPr>
          <w:color w:val="A6A6A6" w:themeColor="background1" w:themeShade="A6"/>
        </w:rPr>
        <w:t>When a UE detects a failure of an ongoing SDT session and remains in RRC_INACTIVE, UE shall initiate immediately a recovery mechanism (e.g. via SDT or resume) and the following sub-topics needs to also be addressed for this specific scenario (in relation to the 2</w:t>
      </w:r>
      <w:r>
        <w:rPr>
          <w:color w:val="A6A6A6" w:themeColor="background1" w:themeShade="A6"/>
          <w:vertAlign w:val="superscript"/>
        </w:rPr>
        <w:t>nd</w:t>
      </w:r>
      <w:r>
        <w:rPr>
          <w:color w:val="A6A6A6" w:themeColor="background1" w:themeShade="A6"/>
        </w:rPr>
        <w:t xml:space="preserve"> resume procedure):</w:t>
      </w:r>
    </w:p>
    <w:p w14:paraId="15B4B785" w14:textId="77777777" w:rsidR="00EA567C" w:rsidRDefault="00786B2D">
      <w:pPr>
        <w:pStyle w:val="a9"/>
        <w:numPr>
          <w:ilvl w:val="1"/>
          <w:numId w:val="6"/>
        </w:numPr>
        <w:spacing w:after="60"/>
        <w:contextualSpacing w:val="0"/>
        <w:jc w:val="both"/>
        <w:rPr>
          <w:color w:val="A6A6A6" w:themeColor="background1" w:themeShade="A6"/>
        </w:rPr>
      </w:pPr>
      <w:bookmarkStart w:id="141" w:name="_Hlk75089702"/>
      <w:r>
        <w:rPr>
          <w:color w:val="A6A6A6" w:themeColor="background1" w:themeShade="A6"/>
        </w:rPr>
        <w:t xml:space="preserve">Previous </w:t>
      </w:r>
      <w:r>
        <w:rPr>
          <w:color w:val="A6A6A6" w:themeColor="background1" w:themeShade="A6"/>
        </w:rPr>
        <w:fldChar w:fldCharType="begin"/>
      </w:r>
      <w:r>
        <w:rPr>
          <w:color w:val="A6A6A6" w:themeColor="background1" w:themeShade="A6"/>
        </w:rPr>
        <w:instrText xml:space="preserve"> REF _Ref74258597 \r \h </w:instrText>
      </w:r>
      <w:r>
        <w:rPr>
          <w:color w:val="A6A6A6" w:themeColor="background1" w:themeShade="A6"/>
        </w:rPr>
      </w:r>
      <w:r>
        <w:rPr>
          <w:color w:val="A6A6A6" w:themeColor="background1" w:themeShade="A6"/>
        </w:rPr>
        <w:fldChar w:fldCharType="separate"/>
      </w:r>
      <w:r>
        <w:rPr>
          <w:color w:val="A6A6A6" w:themeColor="background1" w:themeShade="A6"/>
        </w:rPr>
        <w:t>Discussion point 3)</w:t>
      </w:r>
      <w:r>
        <w:rPr>
          <w:color w:val="A6A6A6" w:themeColor="background1" w:themeShade="A6"/>
        </w:rPr>
        <w:fldChar w:fldCharType="end"/>
      </w:r>
      <w:r>
        <w:rPr>
          <w:color w:val="A6A6A6" w:themeColor="background1" w:themeShade="A6"/>
        </w:rPr>
        <w:t xml:space="preserve"> Resume Cause value for the 2</w:t>
      </w:r>
      <w:r>
        <w:rPr>
          <w:color w:val="A6A6A6" w:themeColor="background1" w:themeShade="A6"/>
          <w:vertAlign w:val="superscript"/>
        </w:rPr>
        <w:t>nd</w:t>
      </w:r>
      <w:r>
        <w:rPr>
          <w:color w:val="A6A6A6" w:themeColor="background1" w:themeShade="A6"/>
        </w:rPr>
        <w:t xml:space="preserve"> </w:t>
      </w:r>
      <w:r>
        <w:rPr>
          <w:i/>
          <w:iCs/>
          <w:color w:val="A6A6A6" w:themeColor="background1" w:themeShade="A6"/>
        </w:rPr>
        <w:t>RRCResumeRequest</w:t>
      </w:r>
      <w:r>
        <w:rPr>
          <w:color w:val="A6A6A6" w:themeColor="background1" w:themeShade="A6"/>
        </w:rPr>
        <w:t xml:space="preserve"> msg.</w:t>
      </w:r>
    </w:p>
    <w:p w14:paraId="15B4B786" w14:textId="77777777" w:rsidR="00EA567C" w:rsidRDefault="00786B2D">
      <w:pPr>
        <w:pStyle w:val="a9"/>
        <w:numPr>
          <w:ilvl w:val="1"/>
          <w:numId w:val="6"/>
        </w:numPr>
        <w:spacing w:after="60"/>
        <w:contextualSpacing w:val="0"/>
        <w:jc w:val="both"/>
        <w:rPr>
          <w:color w:val="A6A6A6" w:themeColor="background1" w:themeShade="A6"/>
        </w:rPr>
      </w:pPr>
      <w:r>
        <w:rPr>
          <w:color w:val="A6A6A6" w:themeColor="background1" w:themeShade="A6"/>
        </w:rPr>
        <w:t xml:space="preserve">Previous  </w:t>
      </w:r>
      <w:r>
        <w:rPr>
          <w:color w:val="A6A6A6" w:themeColor="background1" w:themeShade="A6"/>
        </w:rPr>
        <w:fldChar w:fldCharType="begin"/>
      </w:r>
      <w:r>
        <w:rPr>
          <w:color w:val="A6A6A6" w:themeColor="background1" w:themeShade="A6"/>
        </w:rPr>
        <w:instrText xml:space="preserve"> REF _Ref74232964 \r \h </w:instrText>
      </w:r>
      <w:r>
        <w:rPr>
          <w:color w:val="A6A6A6" w:themeColor="background1" w:themeShade="A6"/>
        </w:rPr>
      </w:r>
      <w:r>
        <w:rPr>
          <w:color w:val="A6A6A6" w:themeColor="background1" w:themeShade="A6"/>
        </w:rPr>
        <w:fldChar w:fldCharType="separate"/>
      </w:r>
      <w:r>
        <w:rPr>
          <w:color w:val="A6A6A6" w:themeColor="background1" w:themeShade="A6"/>
        </w:rPr>
        <w:t>Discussion point 4)</w:t>
      </w:r>
      <w:r>
        <w:rPr>
          <w:color w:val="A6A6A6" w:themeColor="background1" w:themeShade="A6"/>
        </w:rPr>
        <w:fldChar w:fldCharType="end"/>
      </w:r>
      <w:r>
        <w:rPr>
          <w:color w:val="A6A6A6" w:themeColor="background1" w:themeShade="A6"/>
        </w:rPr>
        <w:t xml:space="preserve"> and </w:t>
      </w:r>
      <w:r>
        <w:rPr>
          <w:color w:val="A6A6A6" w:themeColor="background1" w:themeShade="A6"/>
        </w:rPr>
        <w:fldChar w:fldCharType="begin"/>
      </w:r>
      <w:r>
        <w:rPr>
          <w:color w:val="A6A6A6" w:themeColor="background1" w:themeShade="A6"/>
        </w:rPr>
        <w:instrText xml:space="preserve"> REF _Ref74232975 \r \h </w:instrText>
      </w:r>
      <w:r>
        <w:rPr>
          <w:color w:val="A6A6A6" w:themeColor="background1" w:themeShade="A6"/>
        </w:rPr>
      </w:r>
      <w:r>
        <w:rPr>
          <w:color w:val="A6A6A6" w:themeColor="background1" w:themeShade="A6"/>
        </w:rPr>
        <w:fldChar w:fldCharType="separate"/>
      </w:r>
      <w:r>
        <w:rPr>
          <w:color w:val="A6A6A6" w:themeColor="background1" w:themeShade="A6"/>
        </w:rPr>
        <w:t>Discussion point 5)</w:t>
      </w:r>
      <w:r>
        <w:rPr>
          <w:color w:val="A6A6A6" w:themeColor="background1" w:themeShade="A6"/>
        </w:rPr>
        <w:fldChar w:fldCharType="end"/>
      </w:r>
      <w:r>
        <w:rPr>
          <w:color w:val="A6A6A6" w:themeColor="background1" w:themeShade="A6"/>
        </w:rPr>
        <w:t xml:space="preserve"> on the PDCP COUNT and/or security key to be used.</w:t>
      </w:r>
    </w:p>
    <w:p w14:paraId="15B4B787" w14:textId="77777777" w:rsidR="00EA567C" w:rsidRDefault="00786B2D">
      <w:pPr>
        <w:pStyle w:val="a9"/>
        <w:numPr>
          <w:ilvl w:val="1"/>
          <w:numId w:val="6"/>
        </w:numPr>
        <w:spacing w:after="60"/>
        <w:contextualSpacing w:val="0"/>
        <w:jc w:val="both"/>
        <w:rPr>
          <w:color w:val="A6A6A6" w:themeColor="background1" w:themeShade="A6"/>
        </w:rPr>
      </w:pPr>
      <w:r>
        <w:rPr>
          <w:color w:val="A6A6A6" w:themeColor="background1" w:themeShade="A6"/>
        </w:rPr>
        <w:t xml:space="preserve">Previous </w:t>
      </w:r>
      <w:r>
        <w:rPr>
          <w:color w:val="A6A6A6" w:themeColor="background1" w:themeShade="A6"/>
        </w:rPr>
        <w:fldChar w:fldCharType="begin"/>
      </w:r>
      <w:r>
        <w:rPr>
          <w:color w:val="A6A6A6" w:themeColor="background1" w:themeShade="A6"/>
        </w:rPr>
        <w:instrText xml:space="preserve"> REF _Ref74170426 \r \h  \* MERGEFORMAT </w:instrText>
      </w:r>
      <w:r>
        <w:rPr>
          <w:color w:val="A6A6A6" w:themeColor="background1" w:themeShade="A6"/>
        </w:rPr>
      </w:r>
      <w:r>
        <w:rPr>
          <w:color w:val="A6A6A6" w:themeColor="background1" w:themeShade="A6"/>
        </w:rPr>
        <w:fldChar w:fldCharType="separate"/>
      </w:r>
      <w:r>
        <w:rPr>
          <w:color w:val="A6A6A6" w:themeColor="background1" w:themeShade="A6"/>
        </w:rPr>
        <w:t>Discussion point 6)</w:t>
      </w:r>
      <w:r>
        <w:rPr>
          <w:color w:val="A6A6A6" w:themeColor="background1" w:themeShade="A6"/>
        </w:rPr>
        <w:fldChar w:fldCharType="end"/>
      </w:r>
      <w:r>
        <w:rPr>
          <w:color w:val="A6A6A6" w:themeColor="background1" w:themeShade="A6"/>
        </w:rPr>
        <w:t xml:space="preserve"> on which key is used for the generation of the </w:t>
      </w:r>
      <w:r>
        <w:rPr>
          <w:i/>
          <w:color w:val="A6A6A6" w:themeColor="background1" w:themeShade="A6"/>
        </w:rPr>
        <w:t>resumeMAC-I</w:t>
      </w:r>
      <w:r>
        <w:rPr>
          <w:color w:val="A6A6A6" w:themeColor="background1" w:themeShade="A6"/>
        </w:rPr>
        <w:t>.</w:t>
      </w:r>
    </w:p>
    <w:p w14:paraId="15B4B788" w14:textId="77777777" w:rsidR="00EA567C" w:rsidRDefault="00786B2D">
      <w:pPr>
        <w:pStyle w:val="a9"/>
        <w:numPr>
          <w:ilvl w:val="1"/>
          <w:numId w:val="6"/>
        </w:numPr>
        <w:spacing w:after="60"/>
        <w:contextualSpacing w:val="0"/>
        <w:jc w:val="both"/>
        <w:rPr>
          <w:color w:val="A6A6A6" w:themeColor="background1" w:themeShade="A6"/>
        </w:rPr>
      </w:pPr>
      <w:r>
        <w:rPr>
          <w:color w:val="A6A6A6" w:themeColor="background1" w:themeShade="A6"/>
        </w:rPr>
        <w:t xml:space="preserve">Previous </w:t>
      </w:r>
      <w:r>
        <w:rPr>
          <w:color w:val="A6A6A6" w:themeColor="background1" w:themeShade="A6"/>
        </w:rPr>
        <w:fldChar w:fldCharType="begin"/>
      </w:r>
      <w:r>
        <w:rPr>
          <w:color w:val="A6A6A6" w:themeColor="background1" w:themeShade="A6"/>
        </w:rPr>
        <w:instrText xml:space="preserve"> REF _Ref74170625 \r \h  \* MERGEFORMAT </w:instrText>
      </w:r>
      <w:r>
        <w:rPr>
          <w:color w:val="A6A6A6" w:themeColor="background1" w:themeShade="A6"/>
        </w:rPr>
      </w:r>
      <w:r>
        <w:rPr>
          <w:color w:val="A6A6A6" w:themeColor="background1" w:themeShade="A6"/>
        </w:rPr>
        <w:fldChar w:fldCharType="separate"/>
      </w:r>
      <w:r>
        <w:rPr>
          <w:color w:val="A6A6A6" w:themeColor="background1" w:themeShade="A6"/>
        </w:rPr>
        <w:t>Discussion point 7)</w:t>
      </w:r>
      <w:r>
        <w:rPr>
          <w:color w:val="A6A6A6" w:themeColor="background1" w:themeShade="A6"/>
        </w:rPr>
        <w:fldChar w:fldCharType="end"/>
      </w:r>
      <w:r>
        <w:rPr>
          <w:color w:val="A6A6A6" w:themeColor="background1" w:themeShade="A6"/>
        </w:rPr>
        <w:t xml:space="preserve"> on the identification of UE AS context in the network when the ongoing SDT session is with UE AS context relocation. </w:t>
      </w:r>
    </w:p>
    <w:p w14:paraId="15B4B789" w14:textId="77777777" w:rsidR="00EA567C" w:rsidRDefault="00786B2D">
      <w:pPr>
        <w:pStyle w:val="a9"/>
        <w:numPr>
          <w:ilvl w:val="1"/>
          <w:numId w:val="6"/>
        </w:numPr>
        <w:jc w:val="both"/>
        <w:rPr>
          <w:color w:val="A6A6A6" w:themeColor="background1" w:themeShade="A6"/>
        </w:rPr>
      </w:pPr>
      <w:r>
        <w:rPr>
          <w:color w:val="A6A6A6" w:themeColor="background1" w:themeShade="A6"/>
          <w:lang w:eastAsia="x-none"/>
        </w:rPr>
        <w:t>Previous</w:t>
      </w:r>
      <w:r>
        <w:rPr>
          <w:color w:val="A6A6A6" w:themeColor="background1" w:themeShade="A6"/>
        </w:rPr>
        <w:t xml:space="preserve"> </w:t>
      </w:r>
      <w:r>
        <w:rPr>
          <w:color w:val="A6A6A6" w:themeColor="background1" w:themeShade="A6"/>
        </w:rPr>
        <w:fldChar w:fldCharType="begin"/>
      </w:r>
      <w:r>
        <w:rPr>
          <w:color w:val="A6A6A6" w:themeColor="background1" w:themeShade="A6"/>
        </w:rPr>
        <w:instrText xml:space="preserve"> REF _Ref74170544 \r \h  \* MERGEFORMAT </w:instrText>
      </w:r>
      <w:r>
        <w:rPr>
          <w:color w:val="A6A6A6" w:themeColor="background1" w:themeShade="A6"/>
        </w:rPr>
      </w:r>
      <w:r>
        <w:rPr>
          <w:color w:val="A6A6A6" w:themeColor="background1" w:themeShade="A6"/>
        </w:rPr>
        <w:fldChar w:fldCharType="separate"/>
      </w:r>
      <w:r>
        <w:rPr>
          <w:color w:val="A6A6A6" w:themeColor="background1" w:themeShade="A6"/>
        </w:rPr>
        <w:t>Discussion point 8)</w:t>
      </w:r>
      <w:r>
        <w:rPr>
          <w:color w:val="A6A6A6" w:themeColor="background1" w:themeShade="A6"/>
        </w:rPr>
        <w:fldChar w:fldCharType="end"/>
      </w:r>
      <w:r>
        <w:rPr>
          <w:color w:val="A6A6A6" w:themeColor="background1" w:themeShade="A6"/>
        </w:rPr>
        <w:t xml:space="preserve"> on the network handling o</w:t>
      </w:r>
      <w:r>
        <w:rPr>
          <w:color w:val="A6A6A6" w:themeColor="background1" w:themeShade="A6"/>
          <w:lang w:eastAsia="x-none"/>
        </w:rPr>
        <w:t>f the 2</w:t>
      </w:r>
      <w:r>
        <w:rPr>
          <w:color w:val="A6A6A6" w:themeColor="background1" w:themeShade="A6"/>
          <w:vertAlign w:val="superscript"/>
          <w:lang w:eastAsia="x-none"/>
        </w:rPr>
        <w:t>nd</w:t>
      </w:r>
      <w:r>
        <w:rPr>
          <w:color w:val="A6A6A6" w:themeColor="background1" w:themeShade="A6"/>
          <w:lang w:eastAsia="x-none"/>
        </w:rPr>
        <w:t xml:space="preserve"> </w:t>
      </w:r>
      <w:r>
        <w:rPr>
          <w:i/>
          <w:iCs/>
          <w:color w:val="A6A6A6" w:themeColor="background1" w:themeShade="A6"/>
          <w:lang w:eastAsia="x-none"/>
        </w:rPr>
        <w:t>RRCResumeRequest</w:t>
      </w:r>
      <w:r>
        <w:rPr>
          <w:color w:val="A6A6A6" w:themeColor="background1" w:themeShade="A6"/>
          <w:lang w:eastAsia="x-none"/>
        </w:rPr>
        <w:t xml:space="preserve"> and the </w:t>
      </w:r>
      <w:r>
        <w:rPr>
          <w:i/>
          <w:iCs/>
          <w:color w:val="A6A6A6" w:themeColor="background1" w:themeShade="A6"/>
          <w:lang w:eastAsia="x-none"/>
        </w:rPr>
        <w:t>RRCResume</w:t>
      </w:r>
      <w:r>
        <w:rPr>
          <w:color w:val="A6A6A6" w:themeColor="background1" w:themeShade="A6"/>
          <w:lang w:eastAsia="x-none"/>
        </w:rPr>
        <w:t xml:space="preserve"> messages</w:t>
      </w:r>
      <w:r>
        <w:rPr>
          <w:color w:val="A6A6A6" w:themeColor="background1" w:themeShade="A6"/>
        </w:rPr>
        <w:t>.</w:t>
      </w:r>
    </w:p>
    <w:bookmarkEnd w:id="141"/>
    <w:p w14:paraId="15B4B78A" w14:textId="77777777" w:rsidR="00EA567C" w:rsidRDefault="00786B2D">
      <w:pPr>
        <w:pStyle w:val="4"/>
        <w:rPr>
          <w:color w:val="0000CC"/>
        </w:rPr>
      </w:pPr>
      <w:r>
        <w:rPr>
          <w:color w:val="0000CC"/>
          <w:lang w:val="en-US"/>
        </w:rPr>
        <w:fldChar w:fldCharType="begin"/>
      </w:r>
      <w:r>
        <w:rPr>
          <w:color w:val="0000CC"/>
          <w:lang w:val="en-US"/>
        </w:rPr>
        <w:instrText xml:space="preserve"> REF _Ref75005971 \r \h </w:instrText>
      </w:r>
      <w:r>
        <w:rPr>
          <w:color w:val="0000CC"/>
          <w:lang w:val="en-US"/>
        </w:rPr>
      </w:r>
      <w:r>
        <w:rPr>
          <w:color w:val="0000CC"/>
          <w:lang w:val="en-US"/>
        </w:rPr>
        <w:fldChar w:fldCharType="separate"/>
      </w:r>
      <w:r>
        <w:rPr>
          <w:color w:val="0000CC"/>
          <w:lang w:val="en-US"/>
        </w:rPr>
        <w:t>Q.26)</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5B4B78B" w14:textId="77777777" w:rsidR="00EA567C" w:rsidRDefault="00786B2D">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_Ref75005971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Q.26)</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5B4B78C" w14:textId="77777777" w:rsidR="00EA567C" w:rsidRDefault="00786B2D">
      <w:pPr>
        <w:pStyle w:val="a9"/>
        <w:numPr>
          <w:ilvl w:val="0"/>
          <w:numId w:val="30"/>
        </w:numPr>
        <w:overflowPunct/>
        <w:autoSpaceDE/>
        <w:autoSpaceDN/>
        <w:adjustRightInd/>
        <w:spacing w:after="120" w:line="259" w:lineRule="auto"/>
        <w:contextualSpacing w:val="0"/>
        <w:jc w:val="both"/>
        <w:rPr>
          <w:color w:val="0000CC"/>
        </w:rPr>
      </w:pPr>
      <w:bookmarkStart w:id="142" w:name="_Ref75005971"/>
      <w:r>
        <w:rPr>
          <w:color w:val="0000CC"/>
        </w:rPr>
        <w:t xml:space="preserve">When a UE detects a failure of an ongoing SDT session and remains in RRC_INACTIVE, UE shall initiate immediately a recovery mechanism (e.g. via SDT or resume). Please indicate if your responses provided for previous </w:t>
      </w:r>
      <w:r>
        <w:rPr>
          <w:color w:val="0000CC"/>
        </w:rPr>
        <w:fldChar w:fldCharType="begin"/>
      </w:r>
      <w:r>
        <w:rPr>
          <w:color w:val="0000CC"/>
        </w:rPr>
        <w:instrText xml:space="preserve"> REF _Ref75004482 \r \h </w:instrText>
      </w:r>
      <w:r>
        <w:rPr>
          <w:color w:val="0000CC"/>
        </w:rPr>
      </w:r>
      <w:r>
        <w:rPr>
          <w:color w:val="0000CC"/>
        </w:rPr>
        <w:fldChar w:fldCharType="separate"/>
      </w:r>
      <w:r>
        <w:rPr>
          <w:color w:val="0000CC"/>
        </w:rPr>
        <w:t>Q.11)</w:t>
      </w:r>
      <w:r>
        <w:rPr>
          <w:color w:val="0000CC"/>
        </w:rPr>
        <w:fldChar w:fldCharType="end"/>
      </w:r>
      <w:r>
        <w:rPr>
          <w:color w:val="0000CC"/>
        </w:rPr>
        <w:t xml:space="preserve"> to </w:t>
      </w:r>
      <w:r>
        <w:rPr>
          <w:color w:val="0000CC"/>
        </w:rPr>
        <w:fldChar w:fldCharType="begin"/>
      </w:r>
      <w:r>
        <w:rPr>
          <w:color w:val="0000CC"/>
        </w:rPr>
        <w:instrText xml:space="preserve"> REF _Ref75089914 \r \h </w:instrText>
      </w:r>
      <w:r>
        <w:rPr>
          <w:color w:val="0000CC"/>
        </w:rPr>
      </w:r>
      <w:r>
        <w:rPr>
          <w:color w:val="0000CC"/>
        </w:rPr>
        <w:fldChar w:fldCharType="separate"/>
      </w:r>
      <w:r>
        <w:rPr>
          <w:color w:val="0000CC"/>
        </w:rPr>
        <w:t>Q.16)</w:t>
      </w:r>
      <w:r>
        <w:rPr>
          <w:color w:val="0000CC"/>
        </w:rPr>
        <w:fldChar w:fldCharType="end"/>
      </w:r>
      <w:r>
        <w:rPr>
          <w:color w:val="0000CC"/>
        </w:rPr>
        <w:t xml:space="preserve"> are </w:t>
      </w:r>
      <w:r>
        <w:rPr>
          <w:color w:val="0000CC"/>
          <w:u w:val="single"/>
        </w:rPr>
        <w:t>not</w:t>
      </w:r>
      <w:r>
        <w:rPr>
          <w:color w:val="0000CC"/>
        </w:rPr>
        <w:t xml:space="preserve"> applicable for this specific scenario (in relation to the 2</w:t>
      </w:r>
      <w:r>
        <w:rPr>
          <w:color w:val="0000CC"/>
          <w:vertAlign w:val="superscript"/>
        </w:rPr>
        <w:t>nd</w:t>
      </w:r>
      <w:r>
        <w:rPr>
          <w:color w:val="0000CC"/>
        </w:rPr>
        <w:t xml:space="preserve"> resume procedure) and if so, please explain the different behaviour/operation.</w:t>
      </w:r>
    </w:p>
    <w:p w14:paraId="15B4B78D" w14:textId="77777777" w:rsidR="00EA567C" w:rsidRDefault="00786B2D">
      <w:pPr>
        <w:pStyle w:val="a9"/>
        <w:numPr>
          <w:ilvl w:val="1"/>
          <w:numId w:val="30"/>
        </w:numPr>
        <w:overflowPunct/>
        <w:autoSpaceDE/>
        <w:autoSpaceDN/>
        <w:adjustRightInd/>
        <w:spacing w:after="6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_Ref75004482 \r \h </w:instrText>
      </w:r>
      <w:r>
        <w:rPr>
          <w:color w:val="0000CC"/>
        </w:rPr>
      </w:r>
      <w:r>
        <w:rPr>
          <w:color w:val="0000CC"/>
        </w:rPr>
        <w:fldChar w:fldCharType="separate"/>
      </w:r>
      <w:r>
        <w:rPr>
          <w:color w:val="0000CC"/>
        </w:rPr>
        <w:t>Q.11)</w:t>
      </w:r>
      <w:r>
        <w:rPr>
          <w:color w:val="0000CC"/>
        </w:rPr>
        <w:fldChar w:fldCharType="end"/>
      </w:r>
      <w:r>
        <w:rPr>
          <w:color w:val="0000CC"/>
        </w:rPr>
        <w:t xml:space="preserve"> Resume Cause value for the 2nd RRCResumeRequest msg.</w:t>
      </w:r>
    </w:p>
    <w:p w14:paraId="15B4B78E" w14:textId="77777777" w:rsidR="00EA567C" w:rsidRDefault="00786B2D">
      <w:pPr>
        <w:pStyle w:val="a9"/>
        <w:numPr>
          <w:ilvl w:val="1"/>
          <w:numId w:val="30"/>
        </w:numPr>
        <w:overflowPunct/>
        <w:autoSpaceDE/>
        <w:autoSpaceDN/>
        <w:adjustRightInd/>
        <w:spacing w:after="6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_Ref75005904 \r \h  \* MERGEFORMAT </w:instrText>
      </w:r>
      <w:r>
        <w:rPr>
          <w:color w:val="0000CC"/>
        </w:rPr>
      </w:r>
      <w:r>
        <w:rPr>
          <w:color w:val="0000CC"/>
        </w:rPr>
        <w:fldChar w:fldCharType="separate"/>
      </w:r>
      <w:r>
        <w:rPr>
          <w:color w:val="0000CC"/>
        </w:rPr>
        <w:t>Q.12)</w:t>
      </w:r>
      <w:r>
        <w:rPr>
          <w:color w:val="0000CC"/>
        </w:rPr>
        <w:fldChar w:fldCharType="end"/>
      </w:r>
      <w:r>
        <w:rPr>
          <w:color w:val="0000CC"/>
        </w:rPr>
        <w:t xml:space="preserve"> and </w:t>
      </w:r>
      <w:r>
        <w:rPr>
          <w:color w:val="0000CC"/>
        </w:rPr>
        <w:fldChar w:fldCharType="begin"/>
      </w:r>
      <w:r>
        <w:rPr>
          <w:color w:val="0000CC"/>
        </w:rPr>
        <w:instrText xml:space="preserve"> REF _Ref75005915 \r \h  \* MERGEFORMAT </w:instrText>
      </w:r>
      <w:r>
        <w:rPr>
          <w:color w:val="0000CC"/>
        </w:rPr>
      </w:r>
      <w:r>
        <w:rPr>
          <w:color w:val="0000CC"/>
        </w:rPr>
        <w:fldChar w:fldCharType="separate"/>
      </w:r>
      <w:r>
        <w:rPr>
          <w:color w:val="0000CC"/>
        </w:rPr>
        <w:t>Q.13)</w:t>
      </w:r>
      <w:r>
        <w:rPr>
          <w:color w:val="0000CC"/>
        </w:rPr>
        <w:fldChar w:fldCharType="end"/>
      </w:r>
      <w:r>
        <w:rPr>
          <w:color w:val="0000CC"/>
        </w:rPr>
        <w:t xml:space="preserve"> on the PDCP COUNT and/or security key to be used.</w:t>
      </w:r>
    </w:p>
    <w:p w14:paraId="15B4B78F" w14:textId="77777777" w:rsidR="00EA567C" w:rsidRDefault="00786B2D">
      <w:pPr>
        <w:pStyle w:val="a9"/>
        <w:numPr>
          <w:ilvl w:val="1"/>
          <w:numId w:val="30"/>
        </w:numPr>
        <w:overflowPunct/>
        <w:autoSpaceDE/>
        <w:autoSpaceDN/>
        <w:adjustRightInd/>
        <w:spacing w:after="6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_Ref75005924 \r \h  \* MERGEFORMAT </w:instrText>
      </w:r>
      <w:r>
        <w:rPr>
          <w:color w:val="0000CC"/>
        </w:rPr>
      </w:r>
      <w:r>
        <w:rPr>
          <w:color w:val="0000CC"/>
        </w:rPr>
        <w:fldChar w:fldCharType="separate"/>
      </w:r>
      <w:r>
        <w:rPr>
          <w:color w:val="0000CC"/>
        </w:rPr>
        <w:t>Q.14)</w:t>
      </w:r>
      <w:r>
        <w:rPr>
          <w:color w:val="0000CC"/>
        </w:rPr>
        <w:fldChar w:fldCharType="end"/>
      </w:r>
      <w:r>
        <w:rPr>
          <w:color w:val="0000CC"/>
        </w:rPr>
        <w:t xml:space="preserve"> on which key is used for the generation of the resumeMAC-I.</w:t>
      </w:r>
    </w:p>
    <w:p w14:paraId="15B4B790" w14:textId="77777777" w:rsidR="00EA567C" w:rsidRDefault="00786B2D">
      <w:pPr>
        <w:pStyle w:val="a9"/>
        <w:numPr>
          <w:ilvl w:val="1"/>
          <w:numId w:val="30"/>
        </w:numPr>
        <w:overflowPunct/>
        <w:autoSpaceDE/>
        <w:autoSpaceDN/>
        <w:adjustRightInd/>
        <w:spacing w:after="6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_Ref75007376 \r \h  \* MERGEFORMAT </w:instrText>
      </w:r>
      <w:r>
        <w:rPr>
          <w:color w:val="0000CC"/>
        </w:rPr>
      </w:r>
      <w:r>
        <w:rPr>
          <w:color w:val="0000CC"/>
        </w:rPr>
        <w:fldChar w:fldCharType="separate"/>
      </w:r>
      <w:r>
        <w:rPr>
          <w:color w:val="0000CC"/>
        </w:rPr>
        <w:t>Q.15)</w:t>
      </w:r>
      <w:r>
        <w:rPr>
          <w:color w:val="0000CC"/>
        </w:rPr>
        <w:fldChar w:fldCharType="end"/>
      </w:r>
      <w:r>
        <w:rPr>
          <w:color w:val="0000CC"/>
        </w:rPr>
        <w:t xml:space="preserve"> on the identification of UE AS context in the network when the ongoing SDT session is with UE AS context relocation. </w:t>
      </w:r>
    </w:p>
    <w:p w14:paraId="15B4B791" w14:textId="77777777" w:rsidR="00EA567C" w:rsidRDefault="00786B2D">
      <w:pPr>
        <w:pStyle w:val="a9"/>
        <w:numPr>
          <w:ilvl w:val="1"/>
          <w:numId w:val="30"/>
        </w:numPr>
        <w:overflowPunct/>
        <w:autoSpaceDE/>
        <w:autoSpaceDN/>
        <w:adjustRightInd/>
        <w:spacing w:after="12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_Ref75089914 \r \h  \* MERGEFORMAT </w:instrText>
      </w:r>
      <w:r>
        <w:rPr>
          <w:color w:val="0000CC"/>
        </w:rPr>
      </w:r>
      <w:r>
        <w:rPr>
          <w:color w:val="0000CC"/>
        </w:rPr>
        <w:fldChar w:fldCharType="separate"/>
      </w:r>
      <w:r>
        <w:rPr>
          <w:color w:val="0000CC"/>
        </w:rPr>
        <w:t>Q.16)</w:t>
      </w:r>
      <w:r>
        <w:rPr>
          <w:color w:val="0000CC"/>
        </w:rPr>
        <w:fldChar w:fldCharType="end"/>
      </w:r>
      <w:r>
        <w:rPr>
          <w:color w:val="0000CC"/>
        </w:rPr>
        <w:t xml:space="preserve"> on the network handling of the 2nd RRCResumeRequest and the RRCResume messages.</w:t>
      </w:r>
    </w:p>
    <w:tbl>
      <w:tblPr>
        <w:tblStyle w:val="ab"/>
        <w:tblW w:w="0" w:type="auto"/>
        <w:tblLook w:val="04A0" w:firstRow="1" w:lastRow="0" w:firstColumn="1" w:lastColumn="0" w:noHBand="0" w:noVBand="1"/>
      </w:tblPr>
      <w:tblGrid>
        <w:gridCol w:w="1615"/>
        <w:gridCol w:w="2790"/>
        <w:gridCol w:w="4945"/>
      </w:tblGrid>
      <w:tr w:rsidR="00EA567C" w14:paraId="15B4B795" w14:textId="77777777">
        <w:tc>
          <w:tcPr>
            <w:tcW w:w="1615" w:type="dxa"/>
            <w:shd w:val="clear" w:color="auto" w:fill="BFBFBF" w:themeFill="background1" w:themeFillShade="BF"/>
          </w:tcPr>
          <w:bookmarkEnd w:id="142"/>
          <w:p w14:paraId="15B4B792" w14:textId="77777777" w:rsidR="00EA567C" w:rsidRDefault="00786B2D">
            <w:pPr>
              <w:spacing w:after="0"/>
              <w:jc w:val="center"/>
              <w:rPr>
                <w:b/>
                <w:bCs/>
              </w:rPr>
            </w:pPr>
            <w:r>
              <w:rPr>
                <w:b/>
                <w:bCs/>
              </w:rPr>
              <w:t>Company’s name</w:t>
            </w:r>
          </w:p>
        </w:tc>
        <w:tc>
          <w:tcPr>
            <w:tcW w:w="2790" w:type="dxa"/>
            <w:shd w:val="clear" w:color="auto" w:fill="BFBFBF" w:themeFill="background1" w:themeFillShade="BF"/>
          </w:tcPr>
          <w:p w14:paraId="15B4B793" w14:textId="77777777" w:rsidR="00EA567C" w:rsidRDefault="00786B2D">
            <w:pPr>
              <w:spacing w:after="0"/>
              <w:jc w:val="center"/>
              <w:rPr>
                <w:b/>
                <w:bCs/>
              </w:rPr>
            </w:pPr>
            <w:r>
              <w:rPr>
                <w:b/>
                <w:bCs/>
              </w:rPr>
              <w:t xml:space="preserve">Q.11) to Q.16) with responses </w:t>
            </w:r>
            <w:r w:rsidRPr="00AE79EF">
              <w:rPr>
                <w:b/>
                <w:highlight w:val="yellow"/>
                <w:u w:val="single"/>
              </w:rPr>
              <w:t>not</w:t>
            </w:r>
            <w:r>
              <w:rPr>
                <w:b/>
                <w:bCs/>
              </w:rPr>
              <w:t xml:space="preserve"> applicable here</w:t>
            </w:r>
          </w:p>
        </w:tc>
        <w:tc>
          <w:tcPr>
            <w:tcW w:w="4945" w:type="dxa"/>
            <w:shd w:val="clear" w:color="auto" w:fill="BFBFBF" w:themeFill="background1" w:themeFillShade="BF"/>
          </w:tcPr>
          <w:p w14:paraId="15B4B794" w14:textId="77777777" w:rsidR="00EA567C" w:rsidRDefault="00786B2D">
            <w:pPr>
              <w:spacing w:after="0"/>
              <w:jc w:val="center"/>
              <w:rPr>
                <w:b/>
                <w:bCs/>
              </w:rPr>
            </w:pPr>
            <w:r>
              <w:rPr>
                <w:b/>
                <w:bCs/>
              </w:rPr>
              <w:t xml:space="preserve">Justification on the different behaviour/operation for the specific question </w:t>
            </w:r>
          </w:p>
        </w:tc>
      </w:tr>
      <w:tr w:rsidR="00EA567C" w14:paraId="15B4B799" w14:textId="77777777">
        <w:tc>
          <w:tcPr>
            <w:tcW w:w="1615" w:type="dxa"/>
          </w:tcPr>
          <w:p w14:paraId="15B4B796" w14:textId="77777777" w:rsidR="00EA567C" w:rsidRDefault="00786B2D">
            <w:pPr>
              <w:spacing w:after="0"/>
            </w:pPr>
            <w:r>
              <w:t>Huawei, HiSilicon</w:t>
            </w:r>
          </w:p>
        </w:tc>
        <w:tc>
          <w:tcPr>
            <w:tcW w:w="2790" w:type="dxa"/>
          </w:tcPr>
          <w:p w14:paraId="15B4B797" w14:textId="77777777" w:rsidR="00EA567C" w:rsidRDefault="00EA567C">
            <w:pPr>
              <w:spacing w:after="0"/>
            </w:pPr>
          </w:p>
        </w:tc>
        <w:tc>
          <w:tcPr>
            <w:tcW w:w="4945" w:type="dxa"/>
          </w:tcPr>
          <w:p w14:paraId="15B4B798" w14:textId="77777777" w:rsidR="00EA567C" w:rsidRDefault="00786B2D">
            <w:pPr>
              <w:spacing w:after="0"/>
            </w:pPr>
            <w:r>
              <w:t>All our replies are applicable to this case as well and the common approach can be used for both non-SDT data indication, cell reselection and potentially other “failure” cases in case CCCH-based solution is used.</w:t>
            </w:r>
          </w:p>
        </w:tc>
      </w:tr>
      <w:tr w:rsidR="00EA567C" w14:paraId="15B4B79E" w14:textId="77777777">
        <w:trPr>
          <w:trHeight w:val="43"/>
        </w:trPr>
        <w:tc>
          <w:tcPr>
            <w:tcW w:w="1615" w:type="dxa"/>
          </w:tcPr>
          <w:p w14:paraId="15B4B79A" w14:textId="77777777" w:rsidR="00EA567C" w:rsidRDefault="00786B2D">
            <w:pPr>
              <w:spacing w:after="0"/>
            </w:pPr>
            <w:r>
              <w:t>ZTE</w:t>
            </w:r>
          </w:p>
        </w:tc>
        <w:tc>
          <w:tcPr>
            <w:tcW w:w="2790" w:type="dxa"/>
          </w:tcPr>
          <w:p w14:paraId="15B4B79B" w14:textId="77777777" w:rsidR="00EA567C" w:rsidRDefault="00EA567C">
            <w:pPr>
              <w:spacing w:after="0"/>
            </w:pPr>
          </w:p>
        </w:tc>
        <w:tc>
          <w:tcPr>
            <w:tcW w:w="4945" w:type="dxa"/>
          </w:tcPr>
          <w:p w14:paraId="15B4B79C" w14:textId="77777777" w:rsidR="00EA567C" w:rsidRDefault="00786B2D">
            <w:pPr>
              <w:spacing w:after="0"/>
            </w:pPr>
            <w:r>
              <w:t xml:space="preserve">Our answers are also applicable here. </w:t>
            </w:r>
          </w:p>
          <w:p w14:paraId="15B4B79D" w14:textId="77777777" w:rsidR="00EA567C" w:rsidRDefault="00786B2D">
            <w:pPr>
              <w:spacing w:after="0"/>
            </w:pPr>
            <w:r>
              <w:t xml:space="preserve">Then, if we go with a solution to support for all these Events, then we need to discuss whether the UE needs to send an UL message to indicate the failure case and we need to agree on the contents of this UL message (e.g. indicating the event that caused the error – e.g. event 1), 2), 3) 4)), other information included in this message etc. Then we can decide which message to use. </w:t>
            </w:r>
          </w:p>
        </w:tc>
      </w:tr>
      <w:tr w:rsidR="00EA567C" w14:paraId="15B4B7A2" w14:textId="77777777">
        <w:trPr>
          <w:trHeight w:val="43"/>
        </w:trPr>
        <w:tc>
          <w:tcPr>
            <w:tcW w:w="1615" w:type="dxa"/>
          </w:tcPr>
          <w:p w14:paraId="15B4B79F" w14:textId="77777777" w:rsidR="00EA567C" w:rsidRDefault="00786B2D">
            <w:pPr>
              <w:spacing w:after="0"/>
            </w:pPr>
            <w:r>
              <w:t>InterDigital</w:t>
            </w:r>
          </w:p>
        </w:tc>
        <w:tc>
          <w:tcPr>
            <w:tcW w:w="2790" w:type="dxa"/>
          </w:tcPr>
          <w:p w14:paraId="15B4B7A0" w14:textId="77777777" w:rsidR="00EA567C" w:rsidRDefault="00EA567C">
            <w:pPr>
              <w:spacing w:after="0"/>
            </w:pPr>
          </w:p>
        </w:tc>
        <w:tc>
          <w:tcPr>
            <w:tcW w:w="4945" w:type="dxa"/>
          </w:tcPr>
          <w:p w14:paraId="15B4B7A1" w14:textId="77777777" w:rsidR="00EA567C" w:rsidRDefault="00786B2D">
            <w:pPr>
              <w:spacing w:after="0"/>
            </w:pPr>
            <w:r>
              <w:t>Our replies are applicable for the scenario.</w:t>
            </w:r>
          </w:p>
        </w:tc>
      </w:tr>
      <w:tr w:rsidR="00EA567C" w14:paraId="15B4B7A6" w14:textId="77777777">
        <w:tc>
          <w:tcPr>
            <w:tcW w:w="1615" w:type="dxa"/>
          </w:tcPr>
          <w:p w14:paraId="15B4B7A3" w14:textId="77777777" w:rsidR="00EA567C" w:rsidRDefault="00786B2D">
            <w:pPr>
              <w:spacing w:after="0"/>
            </w:pPr>
            <w:r>
              <w:lastRenderedPageBreak/>
              <w:t>CATT</w:t>
            </w:r>
          </w:p>
        </w:tc>
        <w:tc>
          <w:tcPr>
            <w:tcW w:w="2790" w:type="dxa"/>
          </w:tcPr>
          <w:p w14:paraId="15B4B7A4" w14:textId="77777777" w:rsidR="00EA567C" w:rsidRDefault="00EA567C">
            <w:pPr>
              <w:spacing w:after="0"/>
            </w:pPr>
          </w:p>
        </w:tc>
        <w:tc>
          <w:tcPr>
            <w:tcW w:w="4945" w:type="dxa"/>
          </w:tcPr>
          <w:p w14:paraId="15B4B7A5" w14:textId="77777777" w:rsidR="00EA567C" w:rsidRDefault="00786B2D">
            <w:pPr>
              <w:spacing w:after="0"/>
            </w:pPr>
            <w:r>
              <w:t>The UE may perform cell reselection again after the first cell reselection. We wonder how to handle the case when the UE remains in RRC_INACTIVE and initiates a recovery mechanism after detection of a failure of an on-going SDT session. Would a 3rd RRCResumeRequest msg be initiated?</w:t>
            </w:r>
          </w:p>
        </w:tc>
      </w:tr>
      <w:tr w:rsidR="00EA567C" w14:paraId="15B4B7AA" w14:textId="77777777">
        <w:tc>
          <w:tcPr>
            <w:tcW w:w="1615" w:type="dxa"/>
          </w:tcPr>
          <w:p w14:paraId="15B4B7A7" w14:textId="77777777" w:rsidR="00EA567C" w:rsidRDefault="00786B2D">
            <w:pPr>
              <w:spacing w:after="0"/>
            </w:pPr>
            <w:r>
              <w:rPr>
                <w:rFonts w:eastAsiaTheme="minorEastAsia" w:hint="eastAsia"/>
              </w:rPr>
              <w:t>Samsung</w:t>
            </w:r>
          </w:p>
        </w:tc>
        <w:tc>
          <w:tcPr>
            <w:tcW w:w="2790" w:type="dxa"/>
          </w:tcPr>
          <w:p w14:paraId="15B4B7A8" w14:textId="77777777" w:rsidR="00EA567C" w:rsidRDefault="00EA567C">
            <w:pPr>
              <w:spacing w:after="0"/>
            </w:pPr>
          </w:p>
        </w:tc>
        <w:tc>
          <w:tcPr>
            <w:tcW w:w="4945" w:type="dxa"/>
          </w:tcPr>
          <w:p w14:paraId="15B4B7A9" w14:textId="77777777" w:rsidR="00EA567C" w:rsidRDefault="00786B2D">
            <w:pPr>
              <w:spacing w:after="0"/>
            </w:pPr>
            <w:r>
              <w:rPr>
                <w:rFonts w:eastAsiaTheme="minorEastAsia"/>
              </w:rPr>
              <w:t>R</w:t>
            </w:r>
            <w:r>
              <w:rPr>
                <w:rFonts w:eastAsiaTheme="minorEastAsia" w:hint="eastAsia"/>
              </w:rPr>
              <w:t xml:space="preserve">eplies </w:t>
            </w:r>
            <w:r>
              <w:rPr>
                <w:rFonts w:eastAsiaTheme="minorEastAsia"/>
              </w:rPr>
              <w:t>are applicable for this scenario</w:t>
            </w:r>
          </w:p>
        </w:tc>
      </w:tr>
      <w:tr w:rsidR="00EA567C" w14:paraId="15B4B7B0" w14:textId="77777777">
        <w:tc>
          <w:tcPr>
            <w:tcW w:w="1615" w:type="dxa"/>
          </w:tcPr>
          <w:p w14:paraId="15B4B7AB" w14:textId="77777777" w:rsidR="00EA567C" w:rsidRDefault="00786B2D">
            <w:pPr>
              <w:spacing w:after="0"/>
              <w:rPr>
                <w:rFonts w:eastAsiaTheme="minorEastAsia"/>
              </w:rPr>
            </w:pPr>
            <w:r>
              <w:rPr>
                <w:rFonts w:eastAsiaTheme="minorEastAsia" w:hint="eastAsia"/>
              </w:rPr>
              <w:t>Fujitsu</w:t>
            </w:r>
          </w:p>
        </w:tc>
        <w:tc>
          <w:tcPr>
            <w:tcW w:w="2790" w:type="dxa"/>
          </w:tcPr>
          <w:p w14:paraId="15B4B7AC" w14:textId="77777777" w:rsidR="00EA567C" w:rsidRDefault="00EA567C">
            <w:pPr>
              <w:spacing w:after="0"/>
            </w:pPr>
          </w:p>
        </w:tc>
        <w:tc>
          <w:tcPr>
            <w:tcW w:w="4945" w:type="dxa"/>
          </w:tcPr>
          <w:p w14:paraId="15B4B7AD" w14:textId="77777777" w:rsidR="00EA567C" w:rsidRDefault="00786B2D">
            <w:pPr>
              <w:spacing w:after="0"/>
            </w:pPr>
            <w:r>
              <w:t>Our replies to Q.11-Q.16 apply for this specific scenario.</w:t>
            </w:r>
          </w:p>
          <w:p w14:paraId="15B4B7AE" w14:textId="77777777" w:rsidR="00EA567C" w:rsidRDefault="00786B2D">
            <w:pPr>
              <w:spacing w:after="0"/>
            </w:pPr>
            <w:r>
              <w:t>Failure indication can be considered, but existing failure indication would be the starting point.</w:t>
            </w:r>
          </w:p>
          <w:p w14:paraId="15B4B7AF" w14:textId="77777777" w:rsidR="00EA567C" w:rsidRDefault="00786B2D">
            <w:pPr>
              <w:spacing w:after="0"/>
              <w:rPr>
                <w:rFonts w:eastAsiaTheme="minorEastAsia"/>
              </w:rPr>
            </w:pPr>
            <w:r>
              <w:t>Cell reselection can also be considered, but existing cell reselection mechanism would also be the starting point.</w:t>
            </w:r>
          </w:p>
        </w:tc>
      </w:tr>
      <w:tr w:rsidR="00EA567C" w14:paraId="15B4B7B4" w14:textId="77777777">
        <w:tc>
          <w:tcPr>
            <w:tcW w:w="1615" w:type="dxa"/>
          </w:tcPr>
          <w:p w14:paraId="15B4B7B1" w14:textId="77777777" w:rsidR="00EA567C" w:rsidRDefault="00786B2D">
            <w:pPr>
              <w:spacing w:after="0"/>
              <w:rPr>
                <w:rFonts w:eastAsia="Malgun Gothic"/>
                <w:lang w:eastAsia="ko-KR"/>
              </w:rPr>
            </w:pPr>
            <w:r>
              <w:rPr>
                <w:rFonts w:eastAsia="Malgun Gothic" w:hint="eastAsia"/>
                <w:lang w:eastAsia="ko-KR"/>
              </w:rPr>
              <w:t>LG</w:t>
            </w:r>
          </w:p>
        </w:tc>
        <w:tc>
          <w:tcPr>
            <w:tcW w:w="2790" w:type="dxa"/>
          </w:tcPr>
          <w:p w14:paraId="15B4B7B2" w14:textId="77777777" w:rsidR="00EA567C" w:rsidRDefault="00786B2D">
            <w:pPr>
              <w:spacing w:after="0"/>
            </w:pPr>
            <w:r>
              <w:rPr>
                <w:rFonts w:eastAsia="Malgun Gothic" w:hint="eastAsia"/>
                <w:lang w:eastAsia="ko-KR"/>
              </w:rPr>
              <w:t xml:space="preserve">We are not sure what </w:t>
            </w:r>
            <w:r>
              <w:rPr>
                <w:rFonts w:eastAsia="Malgun Gothic"/>
                <w:lang w:eastAsia="ko-KR"/>
              </w:rPr>
              <w:t>this question really asks. Specific issue should be discussed case-by-case.</w:t>
            </w:r>
          </w:p>
        </w:tc>
        <w:tc>
          <w:tcPr>
            <w:tcW w:w="4945" w:type="dxa"/>
          </w:tcPr>
          <w:p w14:paraId="15B4B7B3" w14:textId="77777777" w:rsidR="00EA567C" w:rsidRDefault="00EA567C">
            <w:pPr>
              <w:spacing w:after="0"/>
            </w:pPr>
          </w:p>
        </w:tc>
      </w:tr>
      <w:tr w:rsidR="009C6CE5" w14:paraId="30B5BEE3" w14:textId="77777777">
        <w:tc>
          <w:tcPr>
            <w:tcW w:w="1615" w:type="dxa"/>
          </w:tcPr>
          <w:p w14:paraId="5D4652EC" w14:textId="08C985FE" w:rsidR="009C6CE5" w:rsidRDefault="009C6CE5" w:rsidP="009C6CE5">
            <w:pPr>
              <w:spacing w:after="0"/>
              <w:rPr>
                <w:rFonts w:eastAsia="Malgun Gothic"/>
                <w:lang w:eastAsia="ko-KR"/>
              </w:rPr>
            </w:pPr>
            <w:r>
              <w:t>Intel</w:t>
            </w:r>
          </w:p>
        </w:tc>
        <w:tc>
          <w:tcPr>
            <w:tcW w:w="2790" w:type="dxa"/>
          </w:tcPr>
          <w:p w14:paraId="362619FF" w14:textId="77777777" w:rsidR="009C6CE5" w:rsidRDefault="009C6CE5" w:rsidP="009C6CE5">
            <w:pPr>
              <w:spacing w:after="0"/>
            </w:pPr>
            <w:r>
              <w:t>Q.14) may require further discussion as the recovery mechanism may be done with a new gNB. If so, the options 6.e and 6.d may not work (as the security key used during SDT session with gNB_2 should not be reused with the new gNB_3). Therefore options 6.b) and 6.c) may be more suitable.</w:t>
            </w:r>
          </w:p>
          <w:p w14:paraId="6EC0125E" w14:textId="77777777" w:rsidR="009C6CE5" w:rsidRDefault="009C6CE5" w:rsidP="009C6CE5">
            <w:pPr>
              <w:spacing w:after="0"/>
            </w:pPr>
          </w:p>
          <w:p w14:paraId="598D8BF8" w14:textId="77777777" w:rsidR="009C6CE5" w:rsidRDefault="009C6CE5" w:rsidP="009C6CE5">
            <w:pPr>
              <w:spacing w:after="0"/>
            </w:pPr>
            <w:r>
              <w:t>However  as discussed in previous Q.14), to determine which approach may be preferable for this, SA3/RAN3 input/confirmation may be required as there are many factors to consider such as PDCP COUNT is reset, whether anchoring is used, which node processes ResumeMac-I, C-RNTI used for ResumeMAC-I calculation.</w:t>
            </w:r>
          </w:p>
          <w:p w14:paraId="263F919F" w14:textId="77777777" w:rsidR="009C6CE5" w:rsidRDefault="009C6CE5" w:rsidP="009C6CE5">
            <w:pPr>
              <w:spacing w:after="0"/>
            </w:pPr>
          </w:p>
          <w:p w14:paraId="6DE80970" w14:textId="77777777" w:rsidR="009C6CE5" w:rsidRDefault="009C6CE5" w:rsidP="009C6CE5">
            <w:pPr>
              <w:spacing w:after="0"/>
              <w:rPr>
                <w:rFonts w:eastAsia="Malgun Gothic"/>
                <w:lang w:eastAsia="ko-KR"/>
              </w:rPr>
            </w:pPr>
          </w:p>
        </w:tc>
        <w:tc>
          <w:tcPr>
            <w:tcW w:w="4945" w:type="dxa"/>
          </w:tcPr>
          <w:p w14:paraId="0A96E01A" w14:textId="77777777" w:rsidR="009C6CE5" w:rsidRDefault="009C6CE5" w:rsidP="009C6CE5">
            <w:pPr>
              <w:spacing w:after="0"/>
            </w:pPr>
            <w:r>
              <w:t xml:space="preserve">We understand that our responses to Q.11) to Q.16) are applicable for the new recovery mechanism to handle an abrupt termination of an SDT session (considering the comments provided on the other column). </w:t>
            </w:r>
          </w:p>
          <w:p w14:paraId="591FEA16" w14:textId="77777777" w:rsidR="009C6CE5" w:rsidRDefault="009C6CE5" w:rsidP="009C6CE5">
            <w:pPr>
              <w:spacing w:after="0"/>
            </w:pPr>
          </w:p>
          <w:p w14:paraId="38642103" w14:textId="77777777" w:rsidR="009C6CE5" w:rsidRDefault="009C6CE5" w:rsidP="009C6CE5">
            <w:pPr>
              <w:spacing w:after="0"/>
            </w:pPr>
            <w:r>
              <w:t xml:space="preserve">However, it is important to understand why CCCH based approach may be suitable for a failure scenario (discussed here) but not for a normal handling (discussed in previous section 3.2) to enable the switch from SDT to RRC_CONNECTED. </w:t>
            </w:r>
          </w:p>
          <w:p w14:paraId="745353D1" w14:textId="77777777" w:rsidR="009C6CE5" w:rsidRDefault="009C6CE5" w:rsidP="009C6CE5">
            <w:pPr>
              <w:pStyle w:val="a9"/>
              <w:numPr>
                <w:ilvl w:val="0"/>
                <w:numId w:val="58"/>
              </w:numPr>
              <w:spacing w:after="0" w:line="256" w:lineRule="auto"/>
            </w:pPr>
            <w:r>
              <w:t>The switch from an ongoing (SDT to RRC_CONNECTED is a normal scenario that could happen frequently. For non-SDT data scenario, UE has an ongoing communication with gNB, therefore it seems preferable keeping the control in the network side on when to initiate the switch (as allowed by DCCH based operation), instead of allowing the UE to autonomously break/stop and ongoing SDT session in order to resume the connection.</w:t>
            </w:r>
          </w:p>
          <w:p w14:paraId="3BC37010" w14:textId="77777777" w:rsidR="009C6CE5" w:rsidRDefault="009C6CE5" w:rsidP="009C6CE5">
            <w:pPr>
              <w:pStyle w:val="a9"/>
              <w:numPr>
                <w:ilvl w:val="0"/>
                <w:numId w:val="58"/>
              </w:numPr>
              <w:spacing w:after="0" w:line="256" w:lineRule="auto"/>
            </w:pPr>
            <w:r>
              <w:t>The recovery mechanism after an abrupt termination of an SDT session may not be as frequent scenario. When this happens the communication between UE and gNB is already broken. Therefore, CCCH like approach should be used which allows the UE autonomously to initiate the recovery mechanism (w/o network control).</w:t>
            </w:r>
          </w:p>
          <w:p w14:paraId="53AEE875" w14:textId="77777777" w:rsidR="009C6CE5" w:rsidRDefault="009C6CE5" w:rsidP="009C6CE5">
            <w:pPr>
              <w:spacing w:after="0"/>
            </w:pPr>
          </w:p>
          <w:p w14:paraId="7818B7C1" w14:textId="77777777" w:rsidR="009C6CE5" w:rsidRDefault="009C6CE5" w:rsidP="009C6CE5">
            <w:pPr>
              <w:spacing w:after="0"/>
            </w:pPr>
            <w:r>
              <w:t xml:space="preserve">The following flow for failure recovery involving gNB3 figure also highlights the difference to CCCH:  </w:t>
            </w:r>
          </w:p>
          <w:p w14:paraId="674E4C7D" w14:textId="77777777" w:rsidR="009C6CE5" w:rsidRDefault="009C6CE5" w:rsidP="009C6CE5">
            <w:pPr>
              <w:spacing w:after="0"/>
            </w:pPr>
            <w:r>
              <w:rPr>
                <w:rFonts w:asciiTheme="minorHAnsi" w:eastAsia="PMingLiU" w:hAnsiTheme="minorHAnsi" w:cstheme="minorBidi"/>
                <w:sz w:val="22"/>
                <w:szCs w:val="22"/>
                <w:lang w:eastAsia="en-US"/>
              </w:rPr>
              <w:object w:dxaOrig="4452" w:dyaOrig="2772" w14:anchorId="6FC24325">
                <v:shape id="_x0000_i1032" type="#_x0000_t75" style="width:222.65pt;height:138.45pt" o:ole="">
                  <v:imagedata r:id="rId28" o:title=""/>
                </v:shape>
                <o:OLEObject Type="Embed" ProgID="Visio.Drawing.15" ShapeID="_x0000_i1032" DrawAspect="Content" ObjectID="_1688365990" r:id="rId29"/>
              </w:object>
            </w:r>
          </w:p>
          <w:p w14:paraId="79BF087E" w14:textId="77777777" w:rsidR="009C6CE5" w:rsidRDefault="009C6CE5" w:rsidP="009C6CE5">
            <w:pPr>
              <w:spacing w:after="0"/>
            </w:pPr>
          </w:p>
        </w:tc>
      </w:tr>
      <w:tr w:rsidR="00D56910" w14:paraId="6D926FFC" w14:textId="77777777">
        <w:tc>
          <w:tcPr>
            <w:tcW w:w="1615" w:type="dxa"/>
          </w:tcPr>
          <w:p w14:paraId="1CC56B2C" w14:textId="60B959D9" w:rsidR="00D56910" w:rsidRDefault="00D56910" w:rsidP="00D56910">
            <w:pPr>
              <w:spacing w:after="0"/>
            </w:pPr>
            <w:r>
              <w:rPr>
                <w:lang w:eastAsia="zh-CN"/>
              </w:rPr>
              <w:lastRenderedPageBreak/>
              <w:t>NEC</w:t>
            </w:r>
          </w:p>
        </w:tc>
        <w:tc>
          <w:tcPr>
            <w:tcW w:w="2790" w:type="dxa"/>
          </w:tcPr>
          <w:p w14:paraId="5CAD42CF" w14:textId="77777777" w:rsidR="00D56910" w:rsidRDefault="00D56910" w:rsidP="00D56910">
            <w:pPr>
              <w:spacing w:after="0"/>
            </w:pPr>
          </w:p>
        </w:tc>
        <w:tc>
          <w:tcPr>
            <w:tcW w:w="4945" w:type="dxa"/>
          </w:tcPr>
          <w:p w14:paraId="7DE8F881" w14:textId="41B8D5C3" w:rsidR="00D56910" w:rsidRDefault="00D56910" w:rsidP="00D56910">
            <w:pPr>
              <w:spacing w:after="0"/>
            </w:pPr>
            <w:r>
              <w:t>Our replies are applicable for the scenario.</w:t>
            </w:r>
          </w:p>
        </w:tc>
      </w:tr>
    </w:tbl>
    <w:p w14:paraId="15B4B7B5" w14:textId="77777777" w:rsidR="00EA567C" w:rsidRDefault="00EA567C">
      <w:pPr>
        <w:rPr>
          <w:rFonts w:ascii="Times New Roman" w:hAnsi="Times New Roman" w:cs="Times New Roman"/>
          <w:sz w:val="20"/>
          <w:szCs w:val="20"/>
        </w:rPr>
      </w:pPr>
    </w:p>
    <w:p w14:paraId="15B4B7B6" w14:textId="77777777" w:rsidR="00EA567C" w:rsidRDefault="00EA567C">
      <w:pPr>
        <w:rPr>
          <w:rFonts w:ascii="Times New Roman" w:hAnsi="Times New Roman" w:cs="Times New Roman"/>
          <w:sz w:val="20"/>
          <w:szCs w:val="20"/>
        </w:rPr>
      </w:pPr>
    </w:p>
    <w:p w14:paraId="15B4B7B7" w14:textId="77777777" w:rsidR="00EA567C" w:rsidRDefault="00EA567C">
      <w:pPr>
        <w:rPr>
          <w:rFonts w:ascii="Times New Roman" w:hAnsi="Times New Roman" w:cs="Times New Roman"/>
          <w:sz w:val="20"/>
          <w:szCs w:val="20"/>
        </w:rPr>
      </w:pPr>
    </w:p>
    <w:p w14:paraId="15B4B7B8" w14:textId="77777777" w:rsidR="00EA567C" w:rsidRDefault="00786B2D">
      <w:pPr>
        <w:pStyle w:val="1"/>
        <w:numPr>
          <w:ilvl w:val="0"/>
          <w:numId w:val="2"/>
        </w:numPr>
      </w:pPr>
      <w:r>
        <w:t>Summary report and proposals</w:t>
      </w:r>
    </w:p>
    <w:p w14:paraId="15B4B7B9"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highlight w:val="yellow"/>
        </w:rPr>
        <w:t>&lt;Section to be updated by Rapporteur&gt;</w:t>
      </w:r>
    </w:p>
    <w:p w14:paraId="15B4B7BA" w14:textId="77777777" w:rsidR="00EA567C" w:rsidRDefault="00786B2D">
      <w:pPr>
        <w:jc w:val="both"/>
        <w:rPr>
          <w:rFonts w:ascii="Times New Roman" w:hAnsi="Times New Roman" w:cs="Times New Roman"/>
          <w:sz w:val="20"/>
          <w:szCs w:val="20"/>
        </w:rPr>
      </w:pPr>
      <w:r>
        <w:rPr>
          <w:rFonts w:ascii="Times New Roman" w:hAnsi="Times New Roman" w:cs="Times New Roman"/>
          <w:sz w:val="20"/>
          <w:szCs w:val="20"/>
        </w:rPr>
        <w:t xml:space="preserve">This report summarizes the views of </w:t>
      </w:r>
      <w:r>
        <w:rPr>
          <w:rFonts w:ascii="Times New Roman" w:hAnsi="Times New Roman" w:cs="Times New Roman"/>
          <w:sz w:val="20"/>
          <w:szCs w:val="20"/>
          <w:highlight w:val="yellow"/>
        </w:rPr>
        <w:t>xx</w:t>
      </w:r>
      <w:r>
        <w:rPr>
          <w:rFonts w:ascii="Times New Roman" w:hAnsi="Times New Roman" w:cs="Times New Roman"/>
          <w:sz w:val="20"/>
          <w:szCs w:val="20"/>
        </w:rPr>
        <w:t xml:space="preserve"> companies </w:t>
      </w:r>
      <w:r>
        <w:rPr>
          <w:rFonts w:ascii="Times New Roman" w:hAnsi="Times New Roman" w:cs="Times New Roman"/>
          <w:sz w:val="20"/>
          <w:szCs w:val="20"/>
          <w:highlight w:val="yellow"/>
        </w:rPr>
        <w:t>().</w:t>
      </w:r>
    </w:p>
    <w:p w14:paraId="15B4B7BB" w14:textId="77777777" w:rsidR="00EA567C" w:rsidRDefault="00786B2D">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Aiming to help with the meeting discussion/progress, the proposals are categorized starting with:</w:t>
      </w:r>
    </w:p>
    <w:p w14:paraId="15B4B7BC" w14:textId="77777777" w:rsidR="00EA567C" w:rsidRDefault="00786B2D">
      <w:pPr>
        <w:pStyle w:val="a9"/>
        <w:numPr>
          <w:ilvl w:val="0"/>
          <w:numId w:val="7"/>
        </w:numPr>
        <w:overflowPunct/>
        <w:autoSpaceDE/>
        <w:autoSpaceDN/>
        <w:adjustRightInd/>
        <w:spacing w:after="60" w:line="259" w:lineRule="auto"/>
        <w:contextualSpacing w:val="0"/>
        <w:jc w:val="both"/>
        <w:rPr>
          <w:iCs/>
          <w:lang w:eastAsia="ja-JP"/>
        </w:rPr>
      </w:pPr>
      <w:r>
        <w:rPr>
          <w:bCs/>
          <w:noProof/>
          <w:color w:val="00B050"/>
        </w:rPr>
        <w:t xml:space="preserve">[To agree] </w:t>
      </w:r>
      <w:r>
        <w:rPr>
          <w:iCs/>
          <w:lang w:eastAsia="ja-JP"/>
        </w:rPr>
        <w:t>when there is large support and hence proposed for easy agreement.</w:t>
      </w:r>
    </w:p>
    <w:p w14:paraId="15B4B7BD" w14:textId="77777777" w:rsidR="00EA567C" w:rsidRDefault="00786B2D">
      <w:pPr>
        <w:pStyle w:val="a9"/>
        <w:numPr>
          <w:ilvl w:val="0"/>
          <w:numId w:val="7"/>
        </w:numPr>
        <w:overflowPunct/>
        <w:autoSpaceDE/>
        <w:autoSpaceDN/>
        <w:adjustRightInd/>
        <w:spacing w:after="60" w:line="259" w:lineRule="auto"/>
        <w:contextualSpacing w:val="0"/>
        <w:jc w:val="both"/>
        <w:rPr>
          <w:iCs/>
          <w:lang w:eastAsia="ja-JP"/>
        </w:rPr>
      </w:pPr>
      <w:r>
        <w:rPr>
          <w:bCs/>
          <w:noProof/>
          <w:color w:val="0000CC"/>
        </w:rPr>
        <w:t xml:space="preserve">[To discuss] </w:t>
      </w:r>
      <w:r>
        <w:rPr>
          <w:iCs/>
          <w:lang w:eastAsia="ja-JP"/>
        </w:rPr>
        <w:t>when there is substantial level of support and agreement may be possible.</w:t>
      </w:r>
    </w:p>
    <w:p w14:paraId="15B4B7BE" w14:textId="77777777" w:rsidR="00EA567C" w:rsidRDefault="00786B2D">
      <w:pPr>
        <w:pStyle w:val="a9"/>
        <w:numPr>
          <w:ilvl w:val="0"/>
          <w:numId w:val="7"/>
        </w:numPr>
        <w:overflowPunct/>
        <w:autoSpaceDE/>
        <w:autoSpaceDN/>
        <w:adjustRightInd/>
        <w:spacing w:after="60" w:line="259" w:lineRule="auto"/>
        <w:contextualSpacing w:val="0"/>
        <w:jc w:val="both"/>
        <w:rPr>
          <w:iCs/>
          <w:lang w:eastAsia="ja-JP"/>
        </w:rPr>
      </w:pPr>
      <w:r>
        <w:rPr>
          <w:bCs/>
          <w:noProof/>
          <w:color w:val="C45911"/>
        </w:rPr>
        <w:t xml:space="preserve">[FFS] </w:t>
      </w:r>
      <w:r>
        <w:rPr>
          <w:iCs/>
          <w:lang w:eastAsia="ja-JP"/>
        </w:rPr>
        <w:t>when there is low support or companies propose new solutions or options to possibly consider further e.g. if there is sufficient support (understanding that these topic have not been discussed by all companies when providing their views in the different discussion points).</w:t>
      </w:r>
    </w:p>
    <w:p w14:paraId="15B4B7BF" w14:textId="77777777" w:rsidR="00EA567C" w:rsidRDefault="00786B2D">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15B4B7C0" w14:textId="77777777" w:rsidR="00EA567C" w:rsidRDefault="00786B2D">
      <w:pPr>
        <w:pStyle w:val="Proposal"/>
        <w:numPr>
          <w:ilvl w:val="0"/>
          <w:numId w:val="4"/>
        </w:numPr>
        <w:rPr>
          <w:b/>
          <w:bCs/>
        </w:rPr>
      </w:pPr>
      <w:bookmarkStart w:id="143" w:name="_Toc69291230"/>
      <w:bookmarkStart w:id="144" w:name="_Toc69291231"/>
      <w:bookmarkStart w:id="145" w:name="_Toc69291232"/>
      <w:bookmarkStart w:id="146" w:name="_Toc69291233"/>
      <w:bookmarkStart w:id="147" w:name="_Toc69291234"/>
      <w:bookmarkStart w:id="148" w:name="_Toc69291235"/>
      <w:bookmarkStart w:id="149" w:name="_Toc69291236"/>
      <w:bookmarkStart w:id="150" w:name="_Toc69291237"/>
      <w:bookmarkStart w:id="151" w:name="_Toc69291238"/>
      <w:bookmarkStart w:id="152" w:name="_Toc69291239"/>
      <w:bookmarkStart w:id="153" w:name="_Toc69291240"/>
      <w:bookmarkStart w:id="154" w:name="_Toc69291241"/>
      <w:bookmarkStart w:id="155" w:name="_Toc69291242"/>
      <w:bookmarkStart w:id="156" w:name="_Toc69291243"/>
      <w:bookmarkStart w:id="157" w:name="_Toc69291244"/>
      <w:bookmarkStart w:id="158" w:name="_Toc69291245"/>
      <w:bookmarkStart w:id="159" w:name="_Toc69291246"/>
      <w:bookmarkStart w:id="160" w:name="_Toc69291247"/>
      <w:bookmarkStart w:id="161" w:name="_Toc69291248"/>
      <w:bookmarkStart w:id="162" w:name="_Toc69291249"/>
      <w:bookmarkStart w:id="163" w:name="_Toc69291250"/>
      <w:bookmarkStart w:id="164" w:name="_Toc69291251"/>
      <w:bookmarkStart w:id="165" w:name="_Toc69291252"/>
      <w:bookmarkStart w:id="166" w:name="_Toc69291253"/>
      <w:bookmarkStart w:id="167" w:name="_Toc69291254"/>
      <w:bookmarkStart w:id="168" w:name="_Toc69291255"/>
      <w:bookmarkStart w:id="169" w:name="_Toc69291256"/>
      <w:bookmarkStart w:id="170" w:name="_Toc69291257"/>
      <w:bookmarkStart w:id="171" w:name="_Toc69291258"/>
      <w:bookmarkStart w:id="172" w:name="_Toc69291259"/>
      <w:bookmarkStart w:id="173" w:name="_Toc69291260"/>
      <w:bookmarkStart w:id="174" w:name="_Toc69291261"/>
      <w:bookmarkStart w:id="175" w:name="_Toc69291262"/>
      <w:bookmarkStart w:id="176" w:name="_Toc69291263"/>
      <w:bookmarkStart w:id="177" w:name="_Toc69291264"/>
      <w:bookmarkStart w:id="178" w:name="_Toc69291265"/>
      <w:bookmarkStart w:id="179" w:name="_Toc69291266"/>
      <w:bookmarkStart w:id="180" w:name="_Toc69291267"/>
      <w:bookmarkStart w:id="181" w:name="_Toc69291268"/>
      <w:bookmarkStart w:id="182" w:name="_Toc69291269"/>
      <w:bookmarkStart w:id="183" w:name="_Toc69291270"/>
      <w:bookmarkStart w:id="184" w:name="_Toc69291271"/>
      <w:bookmarkStart w:id="185" w:name="_Toc69291272"/>
      <w:bookmarkStart w:id="186" w:name="_Toc69291273"/>
      <w:bookmarkStart w:id="187" w:name="_Toc69291274"/>
      <w:bookmarkStart w:id="188" w:name="_Toc69291275"/>
      <w:bookmarkStart w:id="189" w:name="_Toc69291276"/>
      <w:bookmarkStart w:id="190" w:name="_Toc69291277"/>
      <w:bookmarkStart w:id="191" w:name="_Toc69291278"/>
      <w:bookmarkStart w:id="192" w:name="_Toc69291279"/>
      <w:bookmarkStart w:id="193" w:name="_Toc69291280"/>
      <w:bookmarkStart w:id="194" w:name="_Toc69291281"/>
      <w:bookmarkStart w:id="195" w:name="_Toc69291282"/>
      <w:bookmarkStart w:id="196" w:name="_Toc69291283"/>
      <w:bookmarkStart w:id="197" w:name="_Toc69291284"/>
      <w:bookmarkStart w:id="198" w:name="_Toc69291285"/>
      <w:bookmarkStart w:id="199" w:name="_Toc69291286"/>
      <w:bookmarkStart w:id="200" w:name="_Toc69291287"/>
      <w:bookmarkStart w:id="201" w:name="_Toc69291288"/>
      <w:bookmarkStart w:id="202" w:name="_Toc69291289"/>
      <w:bookmarkStart w:id="203" w:name="_Toc69291290"/>
      <w:bookmarkStart w:id="204" w:name="_Toc69291291"/>
      <w:bookmarkStart w:id="205" w:name="_Toc69291292"/>
      <w:bookmarkStart w:id="206" w:name="_Toc69291293"/>
      <w:bookmarkStart w:id="207" w:name="_Toc69291294"/>
      <w:bookmarkStart w:id="208" w:name="_Toc69291295"/>
      <w:bookmarkStart w:id="209" w:name="_Toc69291296"/>
      <w:bookmarkStart w:id="210" w:name="_Toc69291297"/>
      <w:bookmarkStart w:id="211" w:name="_Toc69291298"/>
      <w:bookmarkStart w:id="212" w:name="_Toc69291299"/>
      <w:bookmarkStart w:id="213" w:name="_Toc69291300"/>
      <w:bookmarkStart w:id="214" w:name="_Toc69291301"/>
      <w:bookmarkStart w:id="215" w:name="_Toc69291302"/>
      <w:bookmarkStart w:id="216" w:name="_Toc69291303"/>
      <w:bookmarkStart w:id="217" w:name="_Toc69291304"/>
      <w:bookmarkStart w:id="218" w:name="_Toc69291305"/>
      <w:bookmarkStart w:id="219" w:name="_Toc69205206"/>
      <w:bookmarkStart w:id="220" w:name="_Toc69207415"/>
      <w:bookmarkStart w:id="221" w:name="_Toc69208496"/>
      <w:bookmarkStart w:id="222" w:name="_Toc69210335"/>
      <w:bookmarkStart w:id="223" w:name="_Toc69210606"/>
      <w:bookmarkStart w:id="224" w:name="_Toc69221740"/>
      <w:bookmarkStart w:id="225" w:name="_Ref69221882"/>
      <w:bookmarkStart w:id="226" w:name="_Toc69221898"/>
      <w:bookmarkStart w:id="227" w:name="_Toc69221941"/>
      <w:bookmarkStart w:id="228" w:name="_Toc69222488"/>
      <w:bookmarkStart w:id="229" w:name="_Toc69291306"/>
      <w:bookmarkStart w:id="230" w:name="_Toc69313081"/>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r>
        <w:rPr>
          <w:b/>
          <w:bCs/>
          <w:color w:val="00B050"/>
        </w:rPr>
        <w:t>[To agree]</w:t>
      </w:r>
      <w:r>
        <w:rPr>
          <w:b/>
          <w:bCs/>
        </w:rPr>
        <w:t xml:space="preserve"> </w:t>
      </w:r>
      <w:r>
        <w:rPr>
          <w:highlight w:val="yellow"/>
        </w:rPr>
        <w:t>xxx</w:t>
      </w:r>
      <w:bookmarkEnd w:id="219"/>
      <w:bookmarkEnd w:id="220"/>
      <w:bookmarkEnd w:id="221"/>
      <w:bookmarkEnd w:id="222"/>
      <w:bookmarkEnd w:id="223"/>
      <w:bookmarkEnd w:id="224"/>
      <w:bookmarkEnd w:id="225"/>
      <w:bookmarkEnd w:id="226"/>
      <w:bookmarkEnd w:id="227"/>
      <w:bookmarkEnd w:id="228"/>
      <w:bookmarkEnd w:id="229"/>
      <w:bookmarkEnd w:id="230"/>
    </w:p>
    <w:p w14:paraId="15B4B7C1" w14:textId="77777777" w:rsidR="00EA567C" w:rsidRDefault="00786B2D">
      <w:pPr>
        <w:pStyle w:val="Proposal"/>
        <w:numPr>
          <w:ilvl w:val="0"/>
          <w:numId w:val="4"/>
        </w:numPr>
        <w:rPr>
          <w:b/>
          <w:bCs/>
        </w:rPr>
      </w:pPr>
      <w:bookmarkStart w:id="231" w:name="_Toc69291307"/>
      <w:bookmarkStart w:id="232" w:name="_Toc69291308"/>
      <w:bookmarkStart w:id="233" w:name="_Toc69291309"/>
      <w:bookmarkStart w:id="234" w:name="_Toc69313082"/>
      <w:bookmarkStart w:id="235" w:name="_Toc69205209"/>
      <w:bookmarkStart w:id="236" w:name="_Toc69207418"/>
      <w:bookmarkStart w:id="237" w:name="_Toc69208499"/>
      <w:bookmarkStart w:id="238" w:name="_Toc69210338"/>
      <w:bookmarkStart w:id="239" w:name="_Toc69210609"/>
      <w:bookmarkStart w:id="240" w:name="_Toc69221743"/>
      <w:bookmarkStart w:id="241" w:name="_Toc69221901"/>
      <w:bookmarkStart w:id="242" w:name="_Toc69221944"/>
      <w:bookmarkStart w:id="243" w:name="_Toc69222491"/>
      <w:bookmarkEnd w:id="231"/>
      <w:bookmarkEnd w:id="232"/>
      <w:r>
        <w:rPr>
          <w:b/>
          <w:bCs/>
          <w:color w:val="0000CC"/>
        </w:rPr>
        <w:t>[To discuss]</w:t>
      </w:r>
      <w:r>
        <w:rPr>
          <w:b/>
          <w:bCs/>
        </w:rPr>
        <w:t xml:space="preserve"> </w:t>
      </w:r>
      <w:r>
        <w:rPr>
          <w:highlight w:val="yellow"/>
        </w:rPr>
        <w:t>xxx</w:t>
      </w:r>
      <w:bookmarkEnd w:id="233"/>
      <w:bookmarkEnd w:id="234"/>
    </w:p>
    <w:p w14:paraId="15B4B7C2" w14:textId="77777777" w:rsidR="00EA567C" w:rsidRDefault="00786B2D">
      <w:pPr>
        <w:pStyle w:val="Proposal"/>
        <w:numPr>
          <w:ilvl w:val="0"/>
          <w:numId w:val="4"/>
        </w:numPr>
        <w:rPr>
          <w:b/>
          <w:bCs/>
        </w:rPr>
      </w:pPr>
      <w:bookmarkStart w:id="244" w:name="_Toc69291310"/>
      <w:bookmarkStart w:id="245" w:name="_Toc69313083"/>
      <w:r>
        <w:rPr>
          <w:b/>
          <w:noProof/>
          <w:color w:val="C45911"/>
        </w:rPr>
        <w:t>[FFS]</w:t>
      </w:r>
      <w:r>
        <w:rPr>
          <w:bCs/>
          <w:noProof/>
          <w:color w:val="C45911"/>
        </w:rPr>
        <w:t xml:space="preserve"> </w:t>
      </w:r>
      <w:r>
        <w:rPr>
          <w:highlight w:val="yellow"/>
        </w:rPr>
        <w:t>xxx</w:t>
      </w:r>
      <w:bookmarkEnd w:id="244"/>
      <w:bookmarkEnd w:id="245"/>
    </w:p>
    <w:bookmarkEnd w:id="235"/>
    <w:bookmarkEnd w:id="236"/>
    <w:bookmarkEnd w:id="237"/>
    <w:bookmarkEnd w:id="238"/>
    <w:bookmarkEnd w:id="239"/>
    <w:bookmarkEnd w:id="240"/>
    <w:bookmarkEnd w:id="241"/>
    <w:bookmarkEnd w:id="242"/>
    <w:bookmarkEnd w:id="243"/>
    <w:p w14:paraId="15B4B7C3" w14:textId="77777777" w:rsidR="00EA567C" w:rsidRDefault="00EA567C">
      <w:pPr>
        <w:spacing w:before="240" w:after="120"/>
        <w:jc w:val="both"/>
        <w:rPr>
          <w:rFonts w:ascii="Times New Roman" w:hAnsi="Times New Roman" w:cs="Times New Roman"/>
          <w:iCs/>
          <w:sz w:val="20"/>
          <w:szCs w:val="20"/>
          <w:lang w:eastAsia="ja-JP"/>
        </w:rPr>
      </w:pPr>
    </w:p>
    <w:p w14:paraId="15B4B7C4" w14:textId="77777777" w:rsidR="00EA567C" w:rsidRDefault="00786B2D">
      <w:pPr>
        <w:pStyle w:val="observ"/>
        <w:ind w:left="360"/>
      </w:pPr>
      <w:bookmarkStart w:id="246" w:name="_Toc68865237"/>
      <w:r>
        <w:rPr>
          <w:highlight w:val="yellow"/>
        </w:rPr>
        <w:t>xxxx</w:t>
      </w:r>
      <w:r>
        <w:t>.</w:t>
      </w:r>
      <w:bookmarkEnd w:id="246"/>
    </w:p>
    <w:p w14:paraId="15B4B7C5" w14:textId="77777777" w:rsidR="00EA567C" w:rsidRDefault="00EA567C">
      <w:pPr>
        <w:spacing w:before="240" w:after="120"/>
        <w:jc w:val="both"/>
        <w:rPr>
          <w:rFonts w:ascii="Times New Roman" w:hAnsi="Times New Roman" w:cs="Times New Roman"/>
          <w:iCs/>
          <w:sz w:val="20"/>
          <w:szCs w:val="20"/>
          <w:lang w:eastAsia="ja-JP"/>
        </w:rPr>
      </w:pPr>
    </w:p>
    <w:p w14:paraId="15B4B7C6" w14:textId="77777777" w:rsidR="00EA567C" w:rsidRDefault="00EA567C">
      <w:pPr>
        <w:spacing w:before="240" w:after="120"/>
        <w:jc w:val="both"/>
        <w:rPr>
          <w:rFonts w:ascii="Times New Roman" w:hAnsi="Times New Roman" w:cs="Times New Roman"/>
          <w:iCs/>
          <w:sz w:val="20"/>
          <w:szCs w:val="20"/>
          <w:lang w:eastAsia="ja-JP"/>
        </w:rPr>
      </w:pPr>
    </w:p>
    <w:p w14:paraId="15B4B7C7" w14:textId="77777777" w:rsidR="00EA567C" w:rsidRDefault="00786B2D">
      <w:pPr>
        <w:pStyle w:val="1"/>
        <w:numPr>
          <w:ilvl w:val="0"/>
          <w:numId w:val="2"/>
        </w:numPr>
      </w:pPr>
      <w:r>
        <w:lastRenderedPageBreak/>
        <w:t>Conclusion</w:t>
      </w:r>
    </w:p>
    <w:p w14:paraId="15B4B7C8" w14:textId="77777777" w:rsidR="00EA567C" w:rsidRDefault="00786B2D">
      <w:pPr>
        <w:spacing w:after="60"/>
        <w:jc w:val="both"/>
        <w:rPr>
          <w:rFonts w:ascii="Times New Roman" w:hAnsi="Times New Roman" w:cs="Times New Roman"/>
          <w:sz w:val="20"/>
          <w:szCs w:val="20"/>
          <w:lang w:eastAsia="zh-CN"/>
        </w:rPr>
      </w:pPr>
      <w:r>
        <w:rPr>
          <w:rFonts w:ascii="Times New Roman" w:hAnsi="Times New Roman" w:cs="Times New Roman"/>
          <w:iCs/>
          <w:sz w:val="20"/>
          <w:szCs w:val="20"/>
          <w:lang w:eastAsia="ja-JP"/>
        </w:rPr>
        <w:t>The observations captured are the following</w:t>
      </w:r>
      <w:r>
        <w:rPr>
          <w:rFonts w:ascii="Times New Roman" w:hAnsi="Times New Roman" w:cs="Times New Roman"/>
          <w:sz w:val="20"/>
          <w:szCs w:val="20"/>
          <w:lang w:eastAsia="zh-CN"/>
        </w:rPr>
        <w:t>:</w:t>
      </w:r>
    </w:p>
    <w:p w14:paraId="15B4B7C9" w14:textId="77777777" w:rsidR="00EA567C" w:rsidRDefault="00786B2D">
      <w:pPr>
        <w:pStyle w:val="11"/>
        <w:rPr>
          <w:rFonts w:eastAsiaTheme="minorEastAsia"/>
          <w:noProof/>
          <w:szCs w:val="20"/>
        </w:rPr>
      </w:pPr>
      <w:r>
        <w:rPr>
          <w:iCs/>
          <w:szCs w:val="20"/>
          <w:lang w:eastAsia="ja-JP"/>
        </w:rPr>
        <w:fldChar w:fldCharType="begin"/>
      </w:r>
      <w:r>
        <w:rPr>
          <w:iCs/>
          <w:szCs w:val="20"/>
          <w:lang w:eastAsia="ja-JP"/>
        </w:rPr>
        <w:instrText xml:space="preserve"> TOC \n \p " " \t "observ.,1" </w:instrText>
      </w:r>
      <w:r>
        <w:rPr>
          <w:iCs/>
          <w:szCs w:val="20"/>
          <w:lang w:eastAsia="ja-JP"/>
        </w:rPr>
        <w:fldChar w:fldCharType="separate"/>
      </w:r>
      <w:r>
        <w:rPr>
          <w:b/>
          <w:noProof/>
          <w:szCs w:val="20"/>
        </w:rPr>
        <w:t>Observation 1.</w:t>
      </w:r>
      <w:r>
        <w:rPr>
          <w:rFonts w:eastAsiaTheme="minorEastAsia"/>
          <w:noProof/>
          <w:szCs w:val="20"/>
        </w:rPr>
        <w:tab/>
      </w:r>
      <w:r>
        <w:rPr>
          <w:noProof/>
          <w:szCs w:val="20"/>
          <w:highlight w:val="yellow"/>
        </w:rPr>
        <w:t>xxxx</w:t>
      </w:r>
      <w:r>
        <w:rPr>
          <w:noProof/>
          <w:szCs w:val="20"/>
        </w:rPr>
        <w:t>.</w:t>
      </w:r>
    </w:p>
    <w:p w14:paraId="15B4B7CA" w14:textId="77777777" w:rsidR="00EA567C" w:rsidRDefault="00786B2D">
      <w:pPr>
        <w:spacing w:before="240" w:after="120"/>
        <w:jc w:val="both"/>
        <w:rPr>
          <w:rFonts w:ascii="Times New Roman" w:hAnsi="Times New Roman" w:cs="Times New Roman"/>
          <w:sz w:val="20"/>
          <w:szCs w:val="20"/>
          <w:lang w:eastAsia="zh-CN"/>
        </w:rPr>
      </w:pPr>
      <w:r>
        <w:rPr>
          <w:rFonts w:ascii="Times New Roman" w:hAnsi="Times New Roman" w:cs="Times New Roman"/>
          <w:iCs/>
          <w:sz w:val="20"/>
          <w:szCs w:val="20"/>
          <w:lang w:eastAsia="ja-JP"/>
        </w:rPr>
        <w:fldChar w:fldCharType="end"/>
      </w:r>
      <w:r>
        <w:rPr>
          <w:rFonts w:ascii="Times New Roman" w:hAnsi="Times New Roman" w:cs="Times New Roman"/>
          <w:iCs/>
          <w:sz w:val="20"/>
          <w:szCs w:val="20"/>
          <w:lang w:eastAsia="ja-JP"/>
        </w:rPr>
        <w:t>The proposals captured are the following</w:t>
      </w:r>
      <w:r>
        <w:rPr>
          <w:rFonts w:ascii="Times New Roman" w:hAnsi="Times New Roman" w:cs="Times New Roman"/>
          <w:sz w:val="20"/>
          <w:szCs w:val="20"/>
          <w:lang w:eastAsia="zh-CN"/>
        </w:rPr>
        <w:t>:</w:t>
      </w:r>
    </w:p>
    <w:p w14:paraId="15B4B7CB" w14:textId="77777777" w:rsidR="00EA567C" w:rsidRDefault="00786B2D">
      <w:pPr>
        <w:pStyle w:val="11"/>
        <w:rPr>
          <w:rFonts w:eastAsiaTheme="minorEastAsia"/>
          <w:noProof/>
          <w:szCs w:val="20"/>
        </w:rPr>
      </w:pPr>
      <w:r>
        <w:rPr>
          <w:szCs w:val="20"/>
          <w:lang w:eastAsia="zh-CN"/>
        </w:rPr>
        <w:fldChar w:fldCharType="begin"/>
      </w:r>
      <w:r>
        <w:rPr>
          <w:szCs w:val="20"/>
          <w:lang w:eastAsia="zh-CN"/>
        </w:rPr>
        <w:instrText xml:space="preserve"> TOC \n \t "Proposal,1" </w:instrText>
      </w:r>
      <w:r>
        <w:rPr>
          <w:szCs w:val="20"/>
          <w:lang w:eastAsia="zh-CN"/>
        </w:rPr>
        <w:fldChar w:fldCharType="separate"/>
      </w:r>
      <w:r>
        <w:rPr>
          <w:b/>
          <w:noProof/>
          <w:szCs w:val="20"/>
        </w:rPr>
        <w:t>Proposal 1.</w:t>
      </w:r>
      <w:r>
        <w:rPr>
          <w:rFonts w:eastAsiaTheme="minorEastAsia"/>
          <w:noProof/>
          <w:szCs w:val="20"/>
        </w:rPr>
        <w:tab/>
      </w:r>
      <w:r>
        <w:rPr>
          <w:noProof/>
          <w:szCs w:val="20"/>
          <w:highlight w:val="yellow"/>
        </w:rPr>
        <w:t>xxx</w:t>
      </w:r>
    </w:p>
    <w:p w14:paraId="15B4B7CC" w14:textId="77777777" w:rsidR="00EA567C" w:rsidRDefault="00786B2D">
      <w:pPr>
        <w:jc w:val="both"/>
        <w:rPr>
          <w:rFonts w:ascii="Times New Roman" w:hAnsi="Times New Roman" w:cs="Times New Roman"/>
          <w:sz w:val="20"/>
          <w:szCs w:val="20"/>
          <w:lang w:eastAsia="zh-CN"/>
        </w:rPr>
      </w:pPr>
      <w:r>
        <w:rPr>
          <w:rFonts w:ascii="Times New Roman" w:hAnsi="Times New Roman" w:cs="Times New Roman"/>
          <w:sz w:val="20"/>
          <w:szCs w:val="20"/>
          <w:lang w:eastAsia="zh-CN"/>
        </w:rPr>
        <w:fldChar w:fldCharType="end"/>
      </w:r>
    </w:p>
    <w:p w14:paraId="15B4B7CD" w14:textId="77777777" w:rsidR="00EA567C" w:rsidRDefault="00786B2D">
      <w:pPr>
        <w:jc w:val="both"/>
        <w:rPr>
          <w:rFonts w:ascii="Times New Roman" w:hAnsi="Times New Roman" w:cs="Times New Roman"/>
          <w:sz w:val="20"/>
          <w:szCs w:val="20"/>
          <w:lang w:eastAsia="zh-CN"/>
        </w:rPr>
      </w:pPr>
      <w:r>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15B4B7CE" w14:textId="77777777" w:rsidR="00EA567C" w:rsidRDefault="00786B2D">
      <w:pPr>
        <w:spacing w:after="120"/>
        <w:rPr>
          <w:rFonts w:ascii="Times New Roman" w:hAnsi="Times New Roman" w:cs="Times New Roman"/>
          <w:b/>
          <w:bCs/>
          <w:color w:val="00B050"/>
          <w:sz w:val="20"/>
          <w:szCs w:val="20"/>
          <w:u w:val="single"/>
        </w:rPr>
      </w:pPr>
      <w:r>
        <w:rPr>
          <w:rFonts w:ascii="Times New Roman" w:hAnsi="Times New Roman" w:cs="Times New Roman"/>
          <w:b/>
          <w:bCs/>
          <w:color w:val="00B050"/>
          <w:sz w:val="20"/>
          <w:szCs w:val="20"/>
          <w:u w:val="single"/>
        </w:rPr>
        <w:t>Proposals for easy agreement</w:t>
      </w:r>
    </w:p>
    <w:p w14:paraId="15B4B7CF" w14:textId="77777777" w:rsidR="00EA567C" w:rsidRDefault="00786B2D">
      <w:pPr>
        <w:rPr>
          <w:rFonts w:ascii="Times New Roman" w:hAnsi="Times New Roman" w:cs="Times New Roman"/>
          <w:sz w:val="20"/>
          <w:szCs w:val="20"/>
        </w:rPr>
      </w:pPr>
      <w:r>
        <w:rPr>
          <w:rFonts w:ascii="Times New Roman" w:hAnsi="Times New Roman" w:cs="Times New Roman"/>
          <w:sz w:val="20"/>
          <w:szCs w:val="20"/>
        </w:rPr>
        <w:t>xxx</w:t>
      </w:r>
    </w:p>
    <w:p w14:paraId="15B4B7D0" w14:textId="77777777" w:rsidR="00EA567C" w:rsidRDefault="00EA567C">
      <w:pPr>
        <w:rPr>
          <w:rFonts w:ascii="Times New Roman" w:hAnsi="Times New Roman" w:cs="Times New Roman"/>
          <w:sz w:val="20"/>
          <w:szCs w:val="20"/>
        </w:rPr>
      </w:pPr>
    </w:p>
    <w:p w14:paraId="15B4B7D1" w14:textId="77777777" w:rsidR="00EA567C" w:rsidRDefault="00786B2D">
      <w:pPr>
        <w:spacing w:after="120"/>
        <w:rPr>
          <w:rFonts w:ascii="Times New Roman" w:hAnsi="Times New Roman" w:cs="Times New Roman"/>
          <w:b/>
          <w:bCs/>
          <w:color w:val="0000CC"/>
          <w:sz w:val="20"/>
          <w:szCs w:val="20"/>
          <w:u w:val="single"/>
        </w:rPr>
      </w:pPr>
      <w:r>
        <w:rPr>
          <w:rFonts w:ascii="Times New Roman" w:hAnsi="Times New Roman" w:cs="Times New Roman"/>
          <w:b/>
          <w:bCs/>
          <w:color w:val="0000CC"/>
          <w:sz w:val="20"/>
          <w:szCs w:val="20"/>
          <w:u w:val="single"/>
        </w:rPr>
        <w:t>Proposals for discussion (1</w:t>
      </w:r>
      <w:r>
        <w:rPr>
          <w:rFonts w:ascii="Times New Roman" w:hAnsi="Times New Roman" w:cs="Times New Roman"/>
          <w:b/>
          <w:bCs/>
          <w:color w:val="0000CC"/>
          <w:sz w:val="20"/>
          <w:szCs w:val="20"/>
          <w:u w:val="single"/>
          <w:vertAlign w:val="superscript"/>
        </w:rPr>
        <w:t>st</w:t>
      </w:r>
      <w:r>
        <w:rPr>
          <w:rFonts w:ascii="Times New Roman" w:hAnsi="Times New Roman" w:cs="Times New Roman"/>
          <w:b/>
          <w:bCs/>
          <w:color w:val="0000CC"/>
          <w:sz w:val="20"/>
          <w:szCs w:val="20"/>
          <w:u w:val="single"/>
        </w:rPr>
        <w:t xml:space="preserve"> priority) or to be captured as FFS</w:t>
      </w:r>
    </w:p>
    <w:p w14:paraId="15B4B7D2" w14:textId="77777777" w:rsidR="00EA567C" w:rsidRDefault="00786B2D">
      <w:pPr>
        <w:rPr>
          <w:rFonts w:ascii="Times New Roman" w:hAnsi="Times New Roman" w:cs="Times New Roman"/>
          <w:sz w:val="20"/>
          <w:szCs w:val="20"/>
        </w:rPr>
      </w:pPr>
      <w:r>
        <w:rPr>
          <w:rFonts w:ascii="Times New Roman" w:hAnsi="Times New Roman" w:cs="Times New Roman"/>
          <w:sz w:val="20"/>
          <w:szCs w:val="20"/>
        </w:rPr>
        <w:t>xxx</w:t>
      </w:r>
    </w:p>
    <w:p w14:paraId="15B4B7D3" w14:textId="77777777" w:rsidR="00EA567C" w:rsidRDefault="00EA567C">
      <w:pPr>
        <w:rPr>
          <w:rFonts w:ascii="Times New Roman" w:hAnsi="Times New Roman" w:cs="Times New Roman"/>
          <w:sz w:val="20"/>
          <w:szCs w:val="20"/>
        </w:rPr>
      </w:pPr>
    </w:p>
    <w:p w14:paraId="15B4B7D4" w14:textId="77777777" w:rsidR="00EA567C" w:rsidRDefault="00786B2D">
      <w:pPr>
        <w:spacing w:after="120"/>
        <w:rPr>
          <w:rFonts w:ascii="Times New Roman" w:hAnsi="Times New Roman" w:cs="Times New Roman"/>
          <w:b/>
          <w:bCs/>
          <w:color w:val="C45911" w:themeColor="accent2" w:themeShade="BF"/>
          <w:sz w:val="20"/>
          <w:szCs w:val="20"/>
          <w:u w:val="single"/>
        </w:rPr>
      </w:pPr>
      <w:r>
        <w:rPr>
          <w:rFonts w:ascii="Times New Roman" w:hAnsi="Times New Roman" w:cs="Times New Roman"/>
          <w:b/>
          <w:bCs/>
          <w:color w:val="C45911" w:themeColor="accent2" w:themeShade="BF"/>
          <w:sz w:val="20"/>
          <w:szCs w:val="20"/>
          <w:u w:val="single"/>
        </w:rPr>
        <w:t>Proposals for discussion (2</w:t>
      </w:r>
      <w:r>
        <w:rPr>
          <w:rFonts w:ascii="Times New Roman" w:hAnsi="Times New Roman" w:cs="Times New Roman"/>
          <w:b/>
          <w:bCs/>
          <w:color w:val="C45911" w:themeColor="accent2" w:themeShade="BF"/>
          <w:sz w:val="20"/>
          <w:szCs w:val="20"/>
          <w:u w:val="single"/>
          <w:vertAlign w:val="superscript"/>
        </w:rPr>
        <w:t>nd</w:t>
      </w:r>
      <w:r>
        <w:rPr>
          <w:rFonts w:ascii="Times New Roman" w:hAnsi="Times New Roman" w:cs="Times New Roman"/>
          <w:b/>
          <w:bCs/>
          <w:color w:val="C45911" w:themeColor="accent2" w:themeShade="BF"/>
          <w:sz w:val="20"/>
          <w:szCs w:val="20"/>
          <w:u w:val="single"/>
        </w:rPr>
        <w:t xml:space="preserve"> priority) or to be captured as FFS</w:t>
      </w:r>
    </w:p>
    <w:p w14:paraId="15B4B7D5" w14:textId="77777777" w:rsidR="00EA567C" w:rsidRDefault="00786B2D">
      <w:pPr>
        <w:rPr>
          <w:rFonts w:ascii="Times New Roman" w:hAnsi="Times New Roman" w:cs="Times New Roman"/>
          <w:sz w:val="20"/>
          <w:szCs w:val="20"/>
        </w:rPr>
      </w:pPr>
      <w:r>
        <w:rPr>
          <w:rFonts w:ascii="Times New Roman" w:hAnsi="Times New Roman" w:cs="Times New Roman"/>
          <w:sz w:val="20"/>
          <w:szCs w:val="20"/>
        </w:rPr>
        <w:t>xxx</w:t>
      </w:r>
    </w:p>
    <w:p w14:paraId="15B4B7D6" w14:textId="77777777" w:rsidR="00EA567C" w:rsidRDefault="00EA567C"/>
    <w:p w14:paraId="15B4B7D7" w14:textId="77777777" w:rsidR="00EA567C" w:rsidRDefault="00786B2D">
      <w:pPr>
        <w:pStyle w:val="1"/>
      </w:pPr>
      <w:r>
        <w:t xml:space="preserve">Annex: </w:t>
      </w:r>
      <w:bookmarkStart w:id="247" w:name="OLE_LINK490"/>
      <w:bookmarkStart w:id="248" w:name="OLE_LINK491"/>
      <w:r>
        <w:t>companies’ point of contact</w:t>
      </w:r>
      <w:bookmarkEnd w:id="247"/>
      <w:bookmarkEnd w:id="248"/>
    </w:p>
    <w:tbl>
      <w:tblPr>
        <w:tblStyle w:val="ab"/>
        <w:tblW w:w="0" w:type="auto"/>
        <w:tblLook w:val="04A0" w:firstRow="1" w:lastRow="0" w:firstColumn="1" w:lastColumn="0" w:noHBand="0" w:noVBand="1"/>
      </w:tblPr>
      <w:tblGrid>
        <w:gridCol w:w="1760"/>
        <w:gridCol w:w="2687"/>
        <w:gridCol w:w="4903"/>
      </w:tblGrid>
      <w:tr w:rsidR="00EA567C" w14:paraId="15B4B7DB" w14:textId="77777777">
        <w:tc>
          <w:tcPr>
            <w:tcW w:w="1760" w:type="dxa"/>
            <w:shd w:val="clear" w:color="auto" w:fill="BFBFBF" w:themeFill="background1" w:themeFillShade="BF"/>
          </w:tcPr>
          <w:p w14:paraId="15B4B7D8" w14:textId="77777777" w:rsidR="00EA567C" w:rsidRDefault="00786B2D">
            <w:pPr>
              <w:spacing w:after="0"/>
              <w:jc w:val="center"/>
              <w:rPr>
                <w:b/>
                <w:bCs/>
              </w:rPr>
            </w:pPr>
            <w:r>
              <w:rPr>
                <w:b/>
                <w:bCs/>
              </w:rPr>
              <w:t>Company</w:t>
            </w:r>
          </w:p>
        </w:tc>
        <w:tc>
          <w:tcPr>
            <w:tcW w:w="2687" w:type="dxa"/>
            <w:shd w:val="clear" w:color="auto" w:fill="BFBFBF" w:themeFill="background1" w:themeFillShade="BF"/>
          </w:tcPr>
          <w:p w14:paraId="15B4B7D9" w14:textId="77777777" w:rsidR="00EA567C" w:rsidRDefault="00786B2D">
            <w:pPr>
              <w:spacing w:after="0"/>
              <w:jc w:val="center"/>
              <w:rPr>
                <w:b/>
                <w:bCs/>
              </w:rPr>
            </w:pPr>
            <w:r>
              <w:rPr>
                <w:b/>
                <w:bCs/>
              </w:rPr>
              <w:t>Point of contact</w:t>
            </w:r>
          </w:p>
        </w:tc>
        <w:tc>
          <w:tcPr>
            <w:tcW w:w="4903" w:type="dxa"/>
            <w:shd w:val="clear" w:color="auto" w:fill="BFBFBF" w:themeFill="background1" w:themeFillShade="BF"/>
          </w:tcPr>
          <w:p w14:paraId="15B4B7DA" w14:textId="77777777" w:rsidR="00EA567C" w:rsidRDefault="00786B2D">
            <w:pPr>
              <w:spacing w:after="0"/>
              <w:jc w:val="center"/>
              <w:rPr>
                <w:b/>
                <w:bCs/>
              </w:rPr>
            </w:pPr>
            <w:r>
              <w:rPr>
                <w:b/>
                <w:bCs/>
              </w:rPr>
              <w:t>Email address</w:t>
            </w:r>
          </w:p>
        </w:tc>
      </w:tr>
      <w:tr w:rsidR="00EA567C" w14:paraId="15B4B7DF" w14:textId="77777777">
        <w:tc>
          <w:tcPr>
            <w:tcW w:w="1760" w:type="dxa"/>
          </w:tcPr>
          <w:p w14:paraId="15B4B7DC" w14:textId="77777777" w:rsidR="00EA567C" w:rsidRDefault="00786B2D">
            <w:pPr>
              <w:spacing w:after="0"/>
            </w:pPr>
            <w:r>
              <w:t>Intel Corporation</w:t>
            </w:r>
          </w:p>
        </w:tc>
        <w:tc>
          <w:tcPr>
            <w:tcW w:w="2687" w:type="dxa"/>
          </w:tcPr>
          <w:p w14:paraId="15B4B7DD" w14:textId="77777777" w:rsidR="00EA567C" w:rsidRDefault="00786B2D">
            <w:pPr>
              <w:spacing w:after="0"/>
            </w:pPr>
            <w:r>
              <w:t>Marta Martinez Tarradell</w:t>
            </w:r>
          </w:p>
        </w:tc>
        <w:tc>
          <w:tcPr>
            <w:tcW w:w="4903" w:type="dxa"/>
          </w:tcPr>
          <w:p w14:paraId="15B4B7DE" w14:textId="77777777" w:rsidR="00EA567C" w:rsidRDefault="00786B2D">
            <w:pPr>
              <w:spacing w:after="0"/>
            </w:pPr>
            <w:r>
              <w:t>marta.m.tarradell@intel.com</w:t>
            </w:r>
          </w:p>
        </w:tc>
      </w:tr>
      <w:tr w:rsidR="00EA567C" w14:paraId="15B4B7E3" w14:textId="77777777">
        <w:tc>
          <w:tcPr>
            <w:tcW w:w="1760" w:type="dxa"/>
          </w:tcPr>
          <w:p w14:paraId="15B4B7E0" w14:textId="77777777" w:rsidR="00EA567C" w:rsidRDefault="00786B2D">
            <w:pPr>
              <w:spacing w:after="0"/>
            </w:pPr>
            <w:r>
              <w:t>ZTE Corporation</w:t>
            </w:r>
          </w:p>
        </w:tc>
        <w:tc>
          <w:tcPr>
            <w:tcW w:w="2687" w:type="dxa"/>
          </w:tcPr>
          <w:p w14:paraId="15B4B7E1" w14:textId="77777777" w:rsidR="00EA567C" w:rsidRDefault="00786B2D">
            <w:pPr>
              <w:spacing w:after="0"/>
            </w:pPr>
            <w:r>
              <w:t>Eswar Vutukuri</w:t>
            </w:r>
          </w:p>
        </w:tc>
        <w:tc>
          <w:tcPr>
            <w:tcW w:w="4903" w:type="dxa"/>
          </w:tcPr>
          <w:p w14:paraId="15B4B7E2" w14:textId="77777777" w:rsidR="00EA567C" w:rsidRDefault="00786B2D">
            <w:pPr>
              <w:spacing w:after="0"/>
            </w:pPr>
            <w:r>
              <w:t>eswar.vutukuri@zte.com.cn</w:t>
            </w:r>
          </w:p>
        </w:tc>
      </w:tr>
      <w:tr w:rsidR="00EA567C" w14:paraId="15B4B7E7" w14:textId="77777777">
        <w:tc>
          <w:tcPr>
            <w:tcW w:w="1760" w:type="dxa"/>
          </w:tcPr>
          <w:p w14:paraId="15B4B7E4" w14:textId="77777777" w:rsidR="00EA567C" w:rsidRDefault="00786B2D">
            <w:pPr>
              <w:spacing w:after="0"/>
            </w:pPr>
            <w:r>
              <w:t>APT</w:t>
            </w:r>
          </w:p>
        </w:tc>
        <w:tc>
          <w:tcPr>
            <w:tcW w:w="2687" w:type="dxa"/>
          </w:tcPr>
          <w:p w14:paraId="15B4B7E5" w14:textId="77777777" w:rsidR="00EA567C" w:rsidRDefault="00786B2D">
            <w:pPr>
              <w:spacing w:after="0"/>
            </w:pPr>
            <w:r>
              <w:t>Ming-Hung Tao</w:t>
            </w:r>
          </w:p>
        </w:tc>
        <w:tc>
          <w:tcPr>
            <w:tcW w:w="4903" w:type="dxa"/>
          </w:tcPr>
          <w:p w14:paraId="15B4B7E6" w14:textId="77777777" w:rsidR="00EA567C" w:rsidRDefault="00786B2D">
            <w:pPr>
              <w:spacing w:after="0"/>
            </w:pPr>
            <w:r>
              <w:t>MingHungTao@fginnov.com</w:t>
            </w:r>
          </w:p>
        </w:tc>
      </w:tr>
      <w:tr w:rsidR="00EA567C" w14:paraId="15B4B7EB" w14:textId="77777777">
        <w:tc>
          <w:tcPr>
            <w:tcW w:w="1760" w:type="dxa"/>
          </w:tcPr>
          <w:p w14:paraId="15B4B7E8" w14:textId="77777777" w:rsidR="00EA567C" w:rsidRDefault="00786B2D">
            <w:pPr>
              <w:spacing w:after="0"/>
            </w:pPr>
            <w:r>
              <w:t>Huawei</w:t>
            </w:r>
          </w:p>
        </w:tc>
        <w:tc>
          <w:tcPr>
            <w:tcW w:w="2687" w:type="dxa"/>
          </w:tcPr>
          <w:p w14:paraId="15B4B7E9" w14:textId="77777777" w:rsidR="00EA567C" w:rsidRDefault="00786B2D">
            <w:pPr>
              <w:spacing w:after="0"/>
            </w:pPr>
            <w:r>
              <w:t>Dawid Koziol</w:t>
            </w:r>
          </w:p>
        </w:tc>
        <w:tc>
          <w:tcPr>
            <w:tcW w:w="4903" w:type="dxa"/>
          </w:tcPr>
          <w:p w14:paraId="15B4B7EA" w14:textId="77777777" w:rsidR="00EA567C" w:rsidRDefault="00786B2D">
            <w:pPr>
              <w:spacing w:after="0"/>
            </w:pPr>
            <w:r>
              <w:t>dawid.koziol@huawei.com</w:t>
            </w:r>
          </w:p>
        </w:tc>
      </w:tr>
      <w:tr w:rsidR="00EA567C" w14:paraId="15B4B7EF" w14:textId="77777777">
        <w:tc>
          <w:tcPr>
            <w:tcW w:w="1760" w:type="dxa"/>
          </w:tcPr>
          <w:p w14:paraId="15B4B7EC" w14:textId="77777777" w:rsidR="00EA567C" w:rsidRDefault="00786B2D">
            <w:pPr>
              <w:spacing w:after="0"/>
            </w:pPr>
            <w:r>
              <w:rPr>
                <w:rFonts w:hint="eastAsia"/>
                <w:lang w:eastAsia="zh-CN"/>
              </w:rPr>
              <w:t>TCL</w:t>
            </w:r>
          </w:p>
        </w:tc>
        <w:tc>
          <w:tcPr>
            <w:tcW w:w="2687" w:type="dxa"/>
          </w:tcPr>
          <w:p w14:paraId="15B4B7ED" w14:textId="77777777" w:rsidR="00EA567C" w:rsidRDefault="00786B2D">
            <w:pPr>
              <w:spacing w:after="0"/>
              <w:rPr>
                <w:lang w:eastAsia="zh-CN"/>
              </w:rPr>
            </w:pPr>
            <w:r>
              <w:rPr>
                <w:rFonts w:hint="eastAsia"/>
                <w:lang w:eastAsia="zh-CN"/>
              </w:rPr>
              <w:t>H</w:t>
            </w:r>
            <w:r>
              <w:rPr>
                <w:lang w:eastAsia="zh-CN"/>
              </w:rPr>
              <w:t>ejun Wang</w:t>
            </w:r>
          </w:p>
        </w:tc>
        <w:tc>
          <w:tcPr>
            <w:tcW w:w="4903" w:type="dxa"/>
          </w:tcPr>
          <w:p w14:paraId="15B4B7EE" w14:textId="77777777" w:rsidR="00EA567C" w:rsidRDefault="00786B2D">
            <w:pPr>
              <w:spacing w:after="0"/>
              <w:rPr>
                <w:lang w:eastAsia="zh-CN"/>
              </w:rPr>
            </w:pPr>
            <w:r>
              <w:rPr>
                <w:lang w:eastAsia="zh-CN"/>
              </w:rPr>
              <w:t>hejun.wang@tcl.com</w:t>
            </w:r>
          </w:p>
        </w:tc>
      </w:tr>
      <w:tr w:rsidR="00EA567C" w14:paraId="15B4B7F3" w14:textId="77777777">
        <w:tc>
          <w:tcPr>
            <w:tcW w:w="1760" w:type="dxa"/>
          </w:tcPr>
          <w:p w14:paraId="15B4B7F0" w14:textId="77777777" w:rsidR="00EA567C" w:rsidRDefault="00786B2D">
            <w:pPr>
              <w:spacing w:after="0"/>
            </w:pPr>
            <w:r>
              <w:rPr>
                <w:rFonts w:hint="eastAsia"/>
                <w:lang w:eastAsia="zh-CN"/>
              </w:rPr>
              <w:t>N</w:t>
            </w:r>
            <w:r>
              <w:rPr>
                <w:lang w:eastAsia="zh-CN"/>
              </w:rPr>
              <w:t>EC</w:t>
            </w:r>
          </w:p>
        </w:tc>
        <w:tc>
          <w:tcPr>
            <w:tcW w:w="2687" w:type="dxa"/>
          </w:tcPr>
          <w:p w14:paraId="15B4B7F1" w14:textId="77777777" w:rsidR="00EA567C" w:rsidRDefault="00786B2D">
            <w:pPr>
              <w:spacing w:after="0"/>
            </w:pPr>
            <w:r>
              <w:rPr>
                <w:rFonts w:hint="eastAsia"/>
                <w:lang w:eastAsia="zh-CN"/>
              </w:rPr>
              <w:t>W</w:t>
            </w:r>
            <w:r>
              <w:rPr>
                <w:lang w:eastAsia="zh-CN"/>
              </w:rPr>
              <w:t>angda</w:t>
            </w:r>
          </w:p>
        </w:tc>
        <w:tc>
          <w:tcPr>
            <w:tcW w:w="4903" w:type="dxa"/>
          </w:tcPr>
          <w:p w14:paraId="15B4B7F2" w14:textId="77777777" w:rsidR="00EA567C" w:rsidRDefault="00786B2D">
            <w:pPr>
              <w:spacing w:after="0"/>
            </w:pPr>
            <w:r>
              <w:rPr>
                <w:lang w:eastAsia="zh-CN"/>
              </w:rPr>
              <w:t>wang_da@nec.cn/wangda@labs.nec.cn</w:t>
            </w:r>
          </w:p>
        </w:tc>
      </w:tr>
      <w:tr w:rsidR="00EA567C" w14:paraId="15B4B7F7" w14:textId="77777777">
        <w:tc>
          <w:tcPr>
            <w:tcW w:w="1760" w:type="dxa"/>
          </w:tcPr>
          <w:p w14:paraId="15B4B7F4" w14:textId="77777777" w:rsidR="00EA567C" w:rsidRDefault="00786B2D">
            <w:pPr>
              <w:spacing w:after="0"/>
              <w:rPr>
                <w:rFonts w:eastAsiaTheme="minorEastAsia"/>
              </w:rPr>
            </w:pPr>
            <w:r>
              <w:rPr>
                <w:rFonts w:eastAsiaTheme="minorEastAsia" w:hint="eastAsia"/>
              </w:rPr>
              <w:t>F</w:t>
            </w:r>
            <w:r>
              <w:rPr>
                <w:rFonts w:eastAsiaTheme="minorEastAsia"/>
              </w:rPr>
              <w:t>ujitsu</w:t>
            </w:r>
          </w:p>
        </w:tc>
        <w:tc>
          <w:tcPr>
            <w:tcW w:w="2687" w:type="dxa"/>
          </w:tcPr>
          <w:p w14:paraId="15B4B7F5" w14:textId="77777777" w:rsidR="00EA567C" w:rsidRDefault="00786B2D">
            <w:pPr>
              <w:spacing w:after="0"/>
              <w:rPr>
                <w:rFonts w:eastAsiaTheme="minorEastAsia"/>
              </w:rPr>
            </w:pPr>
            <w:r>
              <w:rPr>
                <w:rFonts w:eastAsiaTheme="minorEastAsia" w:hint="eastAsia"/>
              </w:rPr>
              <w:t>O</w:t>
            </w:r>
            <w:r>
              <w:rPr>
                <w:rFonts w:eastAsiaTheme="minorEastAsia"/>
              </w:rPr>
              <w:t>hta</w:t>
            </w:r>
          </w:p>
        </w:tc>
        <w:tc>
          <w:tcPr>
            <w:tcW w:w="4903" w:type="dxa"/>
          </w:tcPr>
          <w:p w14:paraId="15B4B7F6" w14:textId="77777777" w:rsidR="00EA567C" w:rsidRDefault="006751AF">
            <w:pPr>
              <w:spacing w:after="0"/>
              <w:rPr>
                <w:rFonts w:eastAsiaTheme="minorEastAsia"/>
              </w:rPr>
            </w:pPr>
            <w:hyperlink r:id="rId30" w:history="1">
              <w:r w:rsidR="00786B2D">
                <w:rPr>
                  <w:rStyle w:val="ac"/>
                  <w:rFonts w:eastAsiaTheme="minorEastAsia" w:hint="eastAsia"/>
                </w:rPr>
                <w:t>o</w:t>
              </w:r>
              <w:r w:rsidR="00786B2D">
                <w:rPr>
                  <w:rStyle w:val="ac"/>
                  <w:rFonts w:eastAsiaTheme="minorEastAsia"/>
                </w:rPr>
                <w:t>hta.yoshiaki@fujitsu.com</w:t>
              </w:r>
            </w:hyperlink>
          </w:p>
        </w:tc>
      </w:tr>
      <w:tr w:rsidR="00EA567C" w14:paraId="15B4B7FB" w14:textId="77777777">
        <w:tc>
          <w:tcPr>
            <w:tcW w:w="1760" w:type="dxa"/>
          </w:tcPr>
          <w:p w14:paraId="15B4B7F8" w14:textId="77777777" w:rsidR="00EA567C" w:rsidRDefault="00786B2D">
            <w:pPr>
              <w:spacing w:after="0"/>
              <w:rPr>
                <w:rFonts w:eastAsia="Malgun Gothic"/>
                <w:lang w:eastAsia="ko-KR"/>
              </w:rPr>
            </w:pPr>
            <w:r>
              <w:rPr>
                <w:rFonts w:eastAsia="Malgun Gothic" w:hint="eastAsia"/>
                <w:lang w:eastAsia="ko-KR"/>
              </w:rPr>
              <w:t>LG Electronics</w:t>
            </w:r>
          </w:p>
        </w:tc>
        <w:tc>
          <w:tcPr>
            <w:tcW w:w="2687" w:type="dxa"/>
          </w:tcPr>
          <w:p w14:paraId="15B4B7F9" w14:textId="77777777" w:rsidR="00EA567C" w:rsidRDefault="00786B2D">
            <w:pPr>
              <w:spacing w:after="0"/>
              <w:rPr>
                <w:rFonts w:eastAsia="Malgun Gothic"/>
                <w:lang w:eastAsia="ko-KR"/>
              </w:rPr>
            </w:pPr>
            <w:r>
              <w:rPr>
                <w:rFonts w:eastAsia="Malgun Gothic" w:hint="eastAsia"/>
                <w:lang w:eastAsia="ko-KR"/>
              </w:rPr>
              <w:t>SeungJune Yi</w:t>
            </w:r>
          </w:p>
        </w:tc>
        <w:tc>
          <w:tcPr>
            <w:tcW w:w="4903" w:type="dxa"/>
          </w:tcPr>
          <w:p w14:paraId="15B4B7FA" w14:textId="77777777" w:rsidR="00EA567C" w:rsidRDefault="00786B2D">
            <w:pPr>
              <w:spacing w:after="0"/>
              <w:rPr>
                <w:rFonts w:eastAsia="Malgun Gothic"/>
                <w:lang w:eastAsia="ko-KR"/>
              </w:rPr>
            </w:pPr>
            <w:r>
              <w:rPr>
                <w:rFonts w:eastAsia="Malgun Gothic"/>
                <w:lang w:eastAsia="ko-KR"/>
              </w:rPr>
              <w:t>s</w:t>
            </w:r>
            <w:r>
              <w:rPr>
                <w:rFonts w:eastAsia="Malgun Gothic" w:hint="eastAsia"/>
                <w:lang w:eastAsia="ko-KR"/>
              </w:rPr>
              <w:t>eungjune.</w:t>
            </w:r>
            <w:r>
              <w:rPr>
                <w:rFonts w:eastAsia="Malgun Gothic"/>
                <w:lang w:eastAsia="ko-KR"/>
              </w:rPr>
              <w:t>yi@lge.com</w:t>
            </w:r>
          </w:p>
        </w:tc>
      </w:tr>
      <w:tr w:rsidR="00EA567C" w14:paraId="15B4B7FF" w14:textId="77777777">
        <w:tc>
          <w:tcPr>
            <w:tcW w:w="1760" w:type="dxa"/>
          </w:tcPr>
          <w:p w14:paraId="15B4B7FC" w14:textId="4A082EAA" w:rsidR="00EA567C" w:rsidRDefault="00EA567C">
            <w:pPr>
              <w:spacing w:after="0"/>
            </w:pPr>
          </w:p>
        </w:tc>
        <w:tc>
          <w:tcPr>
            <w:tcW w:w="2687" w:type="dxa"/>
          </w:tcPr>
          <w:p w14:paraId="15B4B7FD" w14:textId="52ACCB82" w:rsidR="00EA567C" w:rsidRDefault="00EA567C">
            <w:pPr>
              <w:spacing w:after="0"/>
              <w:rPr>
                <w:lang w:eastAsia="zh-CN"/>
              </w:rPr>
            </w:pPr>
          </w:p>
        </w:tc>
        <w:tc>
          <w:tcPr>
            <w:tcW w:w="4903" w:type="dxa"/>
          </w:tcPr>
          <w:p w14:paraId="15B4B7FE" w14:textId="640298CD" w:rsidR="00EA567C" w:rsidRDefault="00EA567C">
            <w:pPr>
              <w:spacing w:after="0"/>
              <w:rPr>
                <w:lang w:eastAsia="zh-CN"/>
              </w:rPr>
            </w:pPr>
          </w:p>
        </w:tc>
      </w:tr>
      <w:tr w:rsidR="00EA567C" w14:paraId="15B4B803" w14:textId="77777777">
        <w:tc>
          <w:tcPr>
            <w:tcW w:w="1760" w:type="dxa"/>
          </w:tcPr>
          <w:p w14:paraId="15B4B800" w14:textId="77777777" w:rsidR="00EA567C" w:rsidRDefault="00EA567C">
            <w:pPr>
              <w:spacing w:after="0"/>
            </w:pPr>
          </w:p>
        </w:tc>
        <w:tc>
          <w:tcPr>
            <w:tcW w:w="2687" w:type="dxa"/>
          </w:tcPr>
          <w:p w14:paraId="15B4B801" w14:textId="77777777" w:rsidR="00EA567C" w:rsidRDefault="00EA567C">
            <w:pPr>
              <w:spacing w:after="0"/>
            </w:pPr>
          </w:p>
        </w:tc>
        <w:tc>
          <w:tcPr>
            <w:tcW w:w="4903" w:type="dxa"/>
          </w:tcPr>
          <w:p w14:paraId="15B4B802" w14:textId="77777777" w:rsidR="00EA567C" w:rsidRDefault="00EA567C">
            <w:pPr>
              <w:spacing w:after="0"/>
            </w:pPr>
          </w:p>
        </w:tc>
      </w:tr>
      <w:tr w:rsidR="00EA567C" w14:paraId="15B4B807" w14:textId="77777777">
        <w:tc>
          <w:tcPr>
            <w:tcW w:w="1760" w:type="dxa"/>
          </w:tcPr>
          <w:p w14:paraId="15B4B804" w14:textId="77777777" w:rsidR="00EA567C" w:rsidRDefault="00EA567C">
            <w:pPr>
              <w:spacing w:after="0"/>
            </w:pPr>
          </w:p>
        </w:tc>
        <w:tc>
          <w:tcPr>
            <w:tcW w:w="2687" w:type="dxa"/>
          </w:tcPr>
          <w:p w14:paraId="15B4B805" w14:textId="77777777" w:rsidR="00EA567C" w:rsidRDefault="00EA567C">
            <w:pPr>
              <w:spacing w:after="0"/>
            </w:pPr>
          </w:p>
        </w:tc>
        <w:tc>
          <w:tcPr>
            <w:tcW w:w="4903" w:type="dxa"/>
          </w:tcPr>
          <w:p w14:paraId="15B4B806" w14:textId="77777777" w:rsidR="00EA567C" w:rsidRDefault="00EA567C">
            <w:pPr>
              <w:spacing w:after="0"/>
            </w:pPr>
          </w:p>
        </w:tc>
      </w:tr>
      <w:tr w:rsidR="00EA567C" w14:paraId="15B4B80B" w14:textId="77777777">
        <w:tc>
          <w:tcPr>
            <w:tcW w:w="1760" w:type="dxa"/>
          </w:tcPr>
          <w:p w14:paraId="15B4B808" w14:textId="77777777" w:rsidR="00EA567C" w:rsidRDefault="00EA567C">
            <w:pPr>
              <w:spacing w:after="0"/>
            </w:pPr>
          </w:p>
        </w:tc>
        <w:tc>
          <w:tcPr>
            <w:tcW w:w="2687" w:type="dxa"/>
          </w:tcPr>
          <w:p w14:paraId="15B4B809" w14:textId="77777777" w:rsidR="00EA567C" w:rsidRDefault="00EA567C">
            <w:pPr>
              <w:spacing w:after="0"/>
            </w:pPr>
          </w:p>
        </w:tc>
        <w:tc>
          <w:tcPr>
            <w:tcW w:w="4903" w:type="dxa"/>
          </w:tcPr>
          <w:p w14:paraId="15B4B80A" w14:textId="77777777" w:rsidR="00EA567C" w:rsidRDefault="00EA567C">
            <w:pPr>
              <w:spacing w:after="0"/>
            </w:pPr>
          </w:p>
        </w:tc>
      </w:tr>
      <w:tr w:rsidR="00EA567C" w14:paraId="15B4B80F" w14:textId="77777777">
        <w:tc>
          <w:tcPr>
            <w:tcW w:w="1760" w:type="dxa"/>
          </w:tcPr>
          <w:p w14:paraId="15B4B80C" w14:textId="77777777" w:rsidR="00EA567C" w:rsidRDefault="00EA567C">
            <w:pPr>
              <w:spacing w:after="0"/>
            </w:pPr>
          </w:p>
        </w:tc>
        <w:tc>
          <w:tcPr>
            <w:tcW w:w="2687" w:type="dxa"/>
          </w:tcPr>
          <w:p w14:paraId="15B4B80D" w14:textId="77777777" w:rsidR="00EA567C" w:rsidRDefault="00EA567C">
            <w:pPr>
              <w:spacing w:after="0"/>
            </w:pPr>
          </w:p>
        </w:tc>
        <w:tc>
          <w:tcPr>
            <w:tcW w:w="4903" w:type="dxa"/>
          </w:tcPr>
          <w:p w14:paraId="15B4B80E" w14:textId="77777777" w:rsidR="00EA567C" w:rsidRDefault="00EA567C">
            <w:pPr>
              <w:spacing w:after="0"/>
            </w:pPr>
          </w:p>
        </w:tc>
      </w:tr>
    </w:tbl>
    <w:p w14:paraId="15B4B810" w14:textId="77777777" w:rsidR="00EA567C" w:rsidRDefault="00EA567C">
      <w:pPr>
        <w:spacing w:before="240" w:after="120"/>
        <w:jc w:val="both"/>
        <w:rPr>
          <w:rFonts w:ascii="Times New Roman" w:hAnsi="Times New Roman" w:cs="Times New Roman"/>
          <w:iCs/>
          <w:sz w:val="20"/>
          <w:szCs w:val="20"/>
          <w:lang w:eastAsia="ja-JP"/>
        </w:rPr>
      </w:pPr>
    </w:p>
    <w:p w14:paraId="15B4B811" w14:textId="77777777" w:rsidR="00EA567C" w:rsidRDefault="00EA567C">
      <w:pPr>
        <w:spacing w:before="240" w:after="120"/>
        <w:jc w:val="both"/>
        <w:rPr>
          <w:rFonts w:ascii="Times New Roman" w:hAnsi="Times New Roman" w:cs="Times New Roman"/>
          <w:iCs/>
          <w:sz w:val="20"/>
          <w:szCs w:val="20"/>
          <w:lang w:eastAsia="ja-JP"/>
        </w:rPr>
      </w:pPr>
    </w:p>
    <w:p w14:paraId="15B4B812" w14:textId="77777777" w:rsidR="00EA567C" w:rsidRDefault="00EA567C">
      <w:pPr>
        <w:spacing w:before="240" w:after="120"/>
        <w:jc w:val="both"/>
        <w:rPr>
          <w:rFonts w:ascii="Times New Roman" w:hAnsi="Times New Roman" w:cs="Times New Roman"/>
          <w:iCs/>
          <w:sz w:val="20"/>
          <w:szCs w:val="20"/>
          <w:lang w:eastAsia="ja-JP"/>
        </w:rPr>
      </w:pPr>
    </w:p>
    <w:p w14:paraId="15B4B813" w14:textId="77777777" w:rsidR="00EA567C" w:rsidRDefault="00786B2D">
      <w:pPr>
        <w:pStyle w:val="1"/>
        <w:numPr>
          <w:ilvl w:val="0"/>
          <w:numId w:val="2"/>
        </w:numPr>
      </w:pPr>
      <w:bookmarkStart w:id="249" w:name="_Ref434066290"/>
      <w:r>
        <w:lastRenderedPageBreak/>
        <w:t>Reference</w:t>
      </w:r>
      <w:bookmarkEnd w:id="249"/>
    </w:p>
    <w:p w14:paraId="15B4B814" w14:textId="77777777" w:rsidR="00EA567C" w:rsidRDefault="00786B2D">
      <w:pPr>
        <w:pStyle w:val="Doc-title"/>
        <w:numPr>
          <w:ilvl w:val="0"/>
          <w:numId w:val="3"/>
        </w:numPr>
        <w:spacing w:after="60"/>
        <w:rPr>
          <w:rFonts w:ascii="Times New Roman" w:hAnsi="Times New Roman" w:cs="Times New Roman"/>
          <w:sz w:val="20"/>
        </w:rPr>
      </w:pPr>
      <w:bookmarkStart w:id="250" w:name="_Ref74122356"/>
      <w:bookmarkEnd w:id="2"/>
      <w:r>
        <w:rPr>
          <w:rFonts w:ascii="Times New Roman" w:hAnsi="Times New Roman" w:cs="Times New Roman"/>
          <w:sz w:val="20"/>
        </w:rPr>
        <w:t>R2-2104771, Discussion on common control plane issues of SDT, OPPO</w:t>
      </w:r>
      <w:bookmarkEnd w:id="250"/>
    </w:p>
    <w:p w14:paraId="15B4B815" w14:textId="77777777" w:rsidR="00EA567C" w:rsidRDefault="00786B2D">
      <w:pPr>
        <w:pStyle w:val="Doc-title"/>
        <w:numPr>
          <w:ilvl w:val="0"/>
          <w:numId w:val="3"/>
        </w:numPr>
        <w:spacing w:after="60"/>
        <w:rPr>
          <w:rFonts w:ascii="Times New Roman" w:hAnsi="Times New Roman" w:cs="Times New Roman"/>
          <w:sz w:val="20"/>
        </w:rPr>
      </w:pPr>
      <w:bookmarkStart w:id="251" w:name="_Ref74088741"/>
      <w:r>
        <w:rPr>
          <w:rFonts w:ascii="Times New Roman" w:hAnsi="Times New Roman" w:cs="Times New Roman"/>
          <w:sz w:val="20"/>
        </w:rPr>
        <w:t>R2-2104772, on RACH-based SDT, OPPO</w:t>
      </w:r>
      <w:bookmarkEnd w:id="251"/>
    </w:p>
    <w:p w14:paraId="15B4B816" w14:textId="77777777" w:rsidR="00EA567C" w:rsidRDefault="00786B2D">
      <w:pPr>
        <w:pStyle w:val="Doc-title"/>
        <w:numPr>
          <w:ilvl w:val="0"/>
          <w:numId w:val="3"/>
        </w:numPr>
        <w:spacing w:after="60"/>
        <w:rPr>
          <w:rFonts w:ascii="Times New Roman" w:hAnsi="Times New Roman" w:cs="Times New Roman"/>
          <w:sz w:val="20"/>
        </w:rPr>
      </w:pPr>
      <w:bookmarkStart w:id="252" w:name="_Ref74089061"/>
      <w:r>
        <w:rPr>
          <w:rFonts w:ascii="Times New Roman" w:hAnsi="Times New Roman" w:cs="Times New Roman"/>
          <w:sz w:val="20"/>
        </w:rPr>
        <w:t>R2-2104785, Control Plane Common Aspects of RACH and CG based SDT, Samsung Electronics Co., Ltd</w:t>
      </w:r>
      <w:bookmarkEnd w:id="252"/>
    </w:p>
    <w:p w14:paraId="15B4B817" w14:textId="77777777" w:rsidR="00EA567C" w:rsidRDefault="00786B2D">
      <w:pPr>
        <w:pStyle w:val="Doc-title"/>
        <w:numPr>
          <w:ilvl w:val="0"/>
          <w:numId w:val="3"/>
        </w:numPr>
        <w:spacing w:after="60"/>
        <w:rPr>
          <w:rFonts w:ascii="Times New Roman" w:hAnsi="Times New Roman" w:cs="Times New Roman"/>
          <w:sz w:val="20"/>
        </w:rPr>
      </w:pPr>
      <w:bookmarkStart w:id="253" w:name="_Ref74088838"/>
      <w:r>
        <w:rPr>
          <w:rFonts w:ascii="Times New Roman" w:hAnsi="Times New Roman" w:cs="Times New Roman"/>
          <w:sz w:val="20"/>
        </w:rPr>
        <w:t>R2-2104881, Failure and successful handling for an SDT session, Intel Corporation</w:t>
      </w:r>
      <w:bookmarkEnd w:id="253"/>
    </w:p>
    <w:p w14:paraId="15B4B818" w14:textId="77777777" w:rsidR="00EA567C" w:rsidRDefault="00786B2D">
      <w:pPr>
        <w:pStyle w:val="Doc-title"/>
        <w:numPr>
          <w:ilvl w:val="0"/>
          <w:numId w:val="3"/>
        </w:numPr>
        <w:spacing w:after="60"/>
        <w:rPr>
          <w:rFonts w:ascii="Times New Roman" w:hAnsi="Times New Roman" w:cs="Times New Roman"/>
          <w:sz w:val="20"/>
        </w:rPr>
      </w:pPr>
      <w:bookmarkStart w:id="254" w:name="_Ref74088716"/>
      <w:r>
        <w:rPr>
          <w:rFonts w:ascii="Times New Roman" w:hAnsi="Times New Roman" w:cs="Times New Roman"/>
          <w:sz w:val="20"/>
        </w:rPr>
        <w:t>R2-2104882, CP-SDT remaining open issues, Intel Corporation</w:t>
      </w:r>
      <w:bookmarkEnd w:id="254"/>
    </w:p>
    <w:p w14:paraId="15B4B819" w14:textId="77777777" w:rsidR="00EA567C" w:rsidRDefault="00786B2D">
      <w:pPr>
        <w:pStyle w:val="Doc-title"/>
        <w:numPr>
          <w:ilvl w:val="0"/>
          <w:numId w:val="3"/>
        </w:numPr>
        <w:spacing w:after="60"/>
        <w:rPr>
          <w:rFonts w:ascii="Times New Roman" w:hAnsi="Times New Roman" w:cs="Times New Roman"/>
          <w:sz w:val="20"/>
        </w:rPr>
      </w:pPr>
      <w:bookmarkStart w:id="255" w:name="_Ref74088521"/>
      <w:r>
        <w:rPr>
          <w:rFonts w:ascii="Times New Roman" w:hAnsi="Times New Roman" w:cs="Times New Roman"/>
          <w:sz w:val="20"/>
        </w:rPr>
        <w:t>R2-2104883, RA-SDT remaining open issues, Intel Corporation</w:t>
      </w:r>
      <w:bookmarkEnd w:id="255"/>
      <w:r>
        <w:rPr>
          <w:rFonts w:ascii="Times New Roman" w:hAnsi="Times New Roman" w:cs="Times New Roman"/>
          <w:sz w:val="20"/>
        </w:rPr>
        <w:t xml:space="preserve"> </w:t>
      </w:r>
    </w:p>
    <w:p w14:paraId="15B4B81A" w14:textId="77777777" w:rsidR="00EA567C" w:rsidRDefault="00786B2D">
      <w:pPr>
        <w:pStyle w:val="Doc-title"/>
        <w:numPr>
          <w:ilvl w:val="0"/>
          <w:numId w:val="3"/>
        </w:numPr>
        <w:spacing w:after="60"/>
        <w:rPr>
          <w:rFonts w:ascii="Times New Roman" w:hAnsi="Times New Roman" w:cs="Times New Roman"/>
          <w:sz w:val="20"/>
        </w:rPr>
      </w:pPr>
      <w:bookmarkStart w:id="256" w:name="_Ref74089279"/>
      <w:r>
        <w:rPr>
          <w:rFonts w:ascii="Times New Roman" w:hAnsi="Times New Roman" w:cs="Times New Roman"/>
          <w:sz w:val="20"/>
        </w:rPr>
        <w:t>R2-2105101, Control plane aspects on the SDT procedure, Apple</w:t>
      </w:r>
      <w:bookmarkEnd w:id="256"/>
    </w:p>
    <w:p w14:paraId="15B4B81B" w14:textId="77777777" w:rsidR="00EA567C" w:rsidRDefault="00786B2D">
      <w:pPr>
        <w:pStyle w:val="Doc-title"/>
        <w:numPr>
          <w:ilvl w:val="0"/>
          <w:numId w:val="3"/>
        </w:numPr>
        <w:spacing w:after="60"/>
        <w:rPr>
          <w:rFonts w:ascii="Times New Roman" w:hAnsi="Times New Roman" w:cs="Times New Roman"/>
          <w:sz w:val="20"/>
        </w:rPr>
      </w:pPr>
      <w:bookmarkStart w:id="257" w:name="_Ref74088756"/>
      <w:r>
        <w:rPr>
          <w:rFonts w:ascii="Times New Roman" w:hAnsi="Times New Roman" w:cs="Times New Roman"/>
          <w:sz w:val="20"/>
        </w:rPr>
        <w:t>R2-2105281, Consideration on CP issues, CATT</w:t>
      </w:r>
      <w:bookmarkEnd w:id="257"/>
    </w:p>
    <w:p w14:paraId="15B4B81C" w14:textId="77777777" w:rsidR="00EA567C" w:rsidRDefault="00786B2D">
      <w:pPr>
        <w:pStyle w:val="Doc-title"/>
        <w:numPr>
          <w:ilvl w:val="0"/>
          <w:numId w:val="3"/>
        </w:numPr>
        <w:spacing w:after="60"/>
        <w:rPr>
          <w:rFonts w:ascii="Times New Roman" w:hAnsi="Times New Roman" w:cs="Times New Roman"/>
          <w:sz w:val="20"/>
        </w:rPr>
      </w:pPr>
      <w:bookmarkStart w:id="258" w:name="_Ref74088996"/>
      <w:r>
        <w:rPr>
          <w:rFonts w:ascii="Times New Roman" w:hAnsi="Times New Roman" w:cs="Times New Roman"/>
          <w:sz w:val="20"/>
        </w:rPr>
        <w:t>R2-2105448, Control plane aspects of SDT, NEC</w:t>
      </w:r>
      <w:bookmarkEnd w:id="258"/>
    </w:p>
    <w:p w14:paraId="15B4B81D" w14:textId="77777777" w:rsidR="00EA567C" w:rsidRDefault="00786B2D">
      <w:pPr>
        <w:pStyle w:val="Doc-title"/>
        <w:numPr>
          <w:ilvl w:val="0"/>
          <w:numId w:val="3"/>
        </w:numPr>
        <w:spacing w:after="60"/>
        <w:rPr>
          <w:rFonts w:ascii="Times New Roman" w:hAnsi="Times New Roman" w:cs="Times New Roman"/>
          <w:sz w:val="20"/>
        </w:rPr>
      </w:pPr>
      <w:bookmarkStart w:id="259" w:name="_Ref74089528"/>
      <w:r>
        <w:rPr>
          <w:rFonts w:ascii="Times New Roman" w:hAnsi="Times New Roman" w:cs="Times New Roman"/>
          <w:sz w:val="20"/>
        </w:rPr>
        <w:t>R2-2105549 on RACH-based SDT, Spreadtrum Communications</w:t>
      </w:r>
      <w:bookmarkEnd w:id="259"/>
      <w:r>
        <w:rPr>
          <w:rFonts w:ascii="Times New Roman" w:hAnsi="Times New Roman" w:cs="Times New Roman"/>
          <w:sz w:val="20"/>
        </w:rPr>
        <w:t xml:space="preserve"> </w:t>
      </w:r>
    </w:p>
    <w:p w14:paraId="15B4B81E" w14:textId="77777777" w:rsidR="00EA567C" w:rsidRDefault="00786B2D">
      <w:pPr>
        <w:pStyle w:val="Doc-title"/>
        <w:numPr>
          <w:ilvl w:val="0"/>
          <w:numId w:val="3"/>
        </w:numPr>
        <w:spacing w:after="60"/>
        <w:rPr>
          <w:rFonts w:ascii="Times New Roman" w:hAnsi="Times New Roman" w:cs="Times New Roman"/>
          <w:sz w:val="20"/>
        </w:rPr>
      </w:pPr>
      <w:bookmarkStart w:id="260" w:name="_Ref74088665"/>
      <w:r>
        <w:rPr>
          <w:rFonts w:ascii="Times New Roman" w:hAnsi="Times New Roman" w:cs="Times New Roman"/>
          <w:sz w:val="20"/>
        </w:rPr>
        <w:t>R2-2105574, Small data transmission with RA-based schemes, Huawei, HiSilicon</w:t>
      </w:r>
      <w:bookmarkEnd w:id="260"/>
    </w:p>
    <w:p w14:paraId="15B4B81F" w14:textId="77777777" w:rsidR="00EA567C" w:rsidRDefault="00786B2D">
      <w:pPr>
        <w:pStyle w:val="Doc-title"/>
        <w:numPr>
          <w:ilvl w:val="0"/>
          <w:numId w:val="3"/>
        </w:numPr>
        <w:spacing w:after="60"/>
        <w:rPr>
          <w:rFonts w:ascii="Times New Roman" w:hAnsi="Times New Roman" w:cs="Times New Roman"/>
          <w:sz w:val="20"/>
        </w:rPr>
      </w:pPr>
      <w:bookmarkStart w:id="261" w:name="_Ref74088823"/>
      <w:r>
        <w:rPr>
          <w:rFonts w:ascii="Times New Roman" w:hAnsi="Times New Roman" w:cs="Times New Roman"/>
          <w:sz w:val="20"/>
        </w:rPr>
        <w:t>R2-2105575, Control plane common aspects for SDT, Huawei, HiSilicon</w:t>
      </w:r>
      <w:bookmarkEnd w:id="261"/>
    </w:p>
    <w:p w14:paraId="15B4B820" w14:textId="77777777" w:rsidR="00EA567C" w:rsidRDefault="00786B2D">
      <w:pPr>
        <w:pStyle w:val="Doc-title"/>
        <w:numPr>
          <w:ilvl w:val="0"/>
          <w:numId w:val="3"/>
        </w:numPr>
        <w:spacing w:after="60"/>
        <w:rPr>
          <w:rFonts w:ascii="Times New Roman" w:hAnsi="Times New Roman" w:cs="Times New Roman"/>
          <w:sz w:val="20"/>
        </w:rPr>
      </w:pPr>
      <w:bookmarkStart w:id="262" w:name="_Ref74088986"/>
      <w:r>
        <w:rPr>
          <w:rFonts w:ascii="Times New Roman" w:hAnsi="Times New Roman" w:cs="Times New Roman"/>
          <w:sz w:val="20"/>
        </w:rPr>
        <w:t>R2-2105691, Discussion on subsequent SDT in NR, timer handling, and support for SRB1/2, Sony</w:t>
      </w:r>
      <w:bookmarkEnd w:id="262"/>
    </w:p>
    <w:p w14:paraId="15B4B821" w14:textId="77777777" w:rsidR="00EA567C" w:rsidRDefault="00786B2D">
      <w:pPr>
        <w:pStyle w:val="Doc-title"/>
        <w:numPr>
          <w:ilvl w:val="0"/>
          <w:numId w:val="3"/>
        </w:numPr>
        <w:spacing w:after="60"/>
        <w:rPr>
          <w:rFonts w:ascii="Times New Roman" w:hAnsi="Times New Roman" w:cs="Times New Roman"/>
          <w:sz w:val="20"/>
        </w:rPr>
      </w:pPr>
      <w:bookmarkStart w:id="263" w:name="_Ref74088974"/>
      <w:r>
        <w:rPr>
          <w:rFonts w:ascii="Times New Roman" w:hAnsi="Times New Roman" w:cs="Times New Roman"/>
          <w:sz w:val="20"/>
        </w:rPr>
        <w:t>R2-2105760, Common aspects for SDT, Ericsson</w:t>
      </w:r>
      <w:bookmarkEnd w:id="263"/>
    </w:p>
    <w:p w14:paraId="15B4B822" w14:textId="77777777" w:rsidR="00EA567C" w:rsidRDefault="00786B2D">
      <w:pPr>
        <w:pStyle w:val="Doc-title"/>
        <w:numPr>
          <w:ilvl w:val="0"/>
          <w:numId w:val="3"/>
        </w:numPr>
        <w:spacing w:after="60"/>
        <w:rPr>
          <w:rFonts w:ascii="Times New Roman" w:hAnsi="Times New Roman" w:cs="Times New Roman"/>
          <w:sz w:val="20"/>
        </w:rPr>
      </w:pPr>
      <w:bookmarkStart w:id="264" w:name="_Ref74089401"/>
      <w:r>
        <w:rPr>
          <w:rFonts w:ascii="Times New Roman" w:hAnsi="Times New Roman" w:cs="Times New Roman"/>
          <w:sz w:val="20"/>
        </w:rPr>
        <w:t>R2-2105810, Consideration on CP issues for small data transmission, Lenovo, Motorola Mobility</w:t>
      </w:r>
      <w:bookmarkEnd w:id="264"/>
    </w:p>
    <w:p w14:paraId="15B4B823" w14:textId="77777777" w:rsidR="00EA567C" w:rsidRDefault="00786B2D">
      <w:pPr>
        <w:pStyle w:val="Doc-title"/>
        <w:numPr>
          <w:ilvl w:val="0"/>
          <w:numId w:val="3"/>
        </w:numPr>
        <w:spacing w:after="60"/>
        <w:rPr>
          <w:rFonts w:ascii="Times New Roman" w:hAnsi="Times New Roman" w:cs="Times New Roman"/>
          <w:sz w:val="20"/>
        </w:rPr>
      </w:pPr>
      <w:bookmarkStart w:id="265" w:name="_Ref74088868"/>
      <w:r>
        <w:rPr>
          <w:rFonts w:ascii="Times New Roman" w:hAnsi="Times New Roman" w:cs="Times New Roman"/>
          <w:sz w:val="20"/>
        </w:rPr>
        <w:t>R2-2105885, Discussion on open issues of SDT, Qualcomm Incorporated</w:t>
      </w:r>
      <w:bookmarkEnd w:id="265"/>
    </w:p>
    <w:p w14:paraId="15B4B824" w14:textId="77777777" w:rsidR="00EA567C" w:rsidRDefault="00786B2D">
      <w:pPr>
        <w:pStyle w:val="Doc-title"/>
        <w:numPr>
          <w:ilvl w:val="0"/>
          <w:numId w:val="3"/>
        </w:numPr>
        <w:spacing w:after="60"/>
        <w:rPr>
          <w:rFonts w:ascii="Times New Roman" w:hAnsi="Times New Roman" w:cs="Times New Roman"/>
          <w:sz w:val="20"/>
        </w:rPr>
      </w:pPr>
      <w:bookmarkStart w:id="266" w:name="_Ref74088671"/>
      <w:r>
        <w:rPr>
          <w:rFonts w:ascii="Times New Roman" w:hAnsi="Times New Roman" w:cs="Times New Roman"/>
          <w:sz w:val="20"/>
        </w:rPr>
        <w:t>R2-2105886 on open issues for RACH based SDT, Qualcomm Incorporated, R2-2103433</w:t>
      </w:r>
      <w:bookmarkEnd w:id="266"/>
    </w:p>
    <w:p w14:paraId="15B4B825" w14:textId="77777777" w:rsidR="00EA567C" w:rsidRDefault="00786B2D">
      <w:pPr>
        <w:pStyle w:val="Doc-title"/>
        <w:numPr>
          <w:ilvl w:val="0"/>
          <w:numId w:val="3"/>
        </w:numPr>
        <w:spacing w:after="60"/>
        <w:rPr>
          <w:rFonts w:ascii="Times New Roman" w:hAnsi="Times New Roman" w:cs="Times New Roman"/>
          <w:sz w:val="20"/>
        </w:rPr>
      </w:pPr>
      <w:bookmarkStart w:id="267" w:name="_Ref74088860"/>
      <w:r>
        <w:rPr>
          <w:rFonts w:ascii="Times New Roman" w:hAnsi="Times New Roman" w:cs="Times New Roman"/>
          <w:sz w:val="20"/>
        </w:rPr>
        <w:t>R2-2105928, Control plane common aspects of SDT, ZTE Corporation, Sanechips</w:t>
      </w:r>
      <w:bookmarkEnd w:id="267"/>
    </w:p>
    <w:p w14:paraId="15B4B826" w14:textId="77777777" w:rsidR="00EA567C" w:rsidRDefault="00786B2D">
      <w:pPr>
        <w:pStyle w:val="Doc-title"/>
        <w:numPr>
          <w:ilvl w:val="0"/>
          <w:numId w:val="3"/>
        </w:numPr>
        <w:spacing w:after="60"/>
        <w:rPr>
          <w:rFonts w:ascii="Times New Roman" w:hAnsi="Times New Roman" w:cs="Times New Roman"/>
          <w:sz w:val="20"/>
        </w:rPr>
      </w:pPr>
      <w:bookmarkStart w:id="268" w:name="_Ref74088530"/>
      <w:r>
        <w:rPr>
          <w:rFonts w:ascii="Times New Roman" w:hAnsi="Times New Roman" w:cs="Times New Roman"/>
          <w:sz w:val="20"/>
        </w:rPr>
        <w:t>R2-2105929, Open issues for RACH based SDT, ZTE Corporation, Sanechips, Rel-17</w:t>
      </w:r>
      <w:bookmarkEnd w:id="268"/>
    </w:p>
    <w:p w14:paraId="15B4B827" w14:textId="77777777" w:rsidR="00EA567C" w:rsidRDefault="00786B2D">
      <w:pPr>
        <w:pStyle w:val="Doc-title"/>
        <w:numPr>
          <w:ilvl w:val="0"/>
          <w:numId w:val="3"/>
        </w:numPr>
        <w:spacing w:after="60"/>
        <w:rPr>
          <w:rFonts w:ascii="Times New Roman" w:hAnsi="Times New Roman" w:cs="Times New Roman"/>
          <w:sz w:val="20"/>
        </w:rPr>
      </w:pPr>
      <w:bookmarkStart w:id="269" w:name="_Ref74088907"/>
      <w:r>
        <w:rPr>
          <w:rFonts w:ascii="Times New Roman" w:hAnsi="Times New Roman" w:cs="Times New Roman"/>
          <w:sz w:val="20"/>
        </w:rPr>
        <w:t>R2-2106050, SDT CP and configuration aspects, InterDigital</w:t>
      </w:r>
      <w:bookmarkEnd w:id="269"/>
    </w:p>
    <w:p w14:paraId="15B4B828" w14:textId="77777777" w:rsidR="00EA567C" w:rsidRDefault="00786B2D">
      <w:pPr>
        <w:pStyle w:val="Doc-title"/>
        <w:numPr>
          <w:ilvl w:val="0"/>
          <w:numId w:val="3"/>
        </w:numPr>
        <w:spacing w:after="60"/>
        <w:rPr>
          <w:rFonts w:ascii="Times New Roman" w:hAnsi="Times New Roman" w:cs="Times New Roman"/>
          <w:sz w:val="20"/>
        </w:rPr>
      </w:pPr>
      <w:bookmarkStart w:id="270" w:name="_Ref74089511"/>
      <w:r>
        <w:rPr>
          <w:rFonts w:ascii="Times New Roman" w:hAnsi="Times New Roman" w:cs="Times New Roman"/>
          <w:sz w:val="20"/>
        </w:rPr>
        <w:t>R2-2106132, Discussion on CP aspects of SDT, China Telecomunication Corp.</w:t>
      </w:r>
      <w:bookmarkEnd w:id="270"/>
    </w:p>
    <w:p w14:paraId="15B4B829" w14:textId="77777777" w:rsidR="00EA567C" w:rsidRDefault="00786B2D">
      <w:pPr>
        <w:pStyle w:val="Doc-title"/>
        <w:numPr>
          <w:ilvl w:val="0"/>
          <w:numId w:val="3"/>
        </w:numPr>
        <w:spacing w:after="60"/>
        <w:rPr>
          <w:rFonts w:ascii="Times New Roman" w:hAnsi="Times New Roman" w:cs="Times New Roman"/>
          <w:sz w:val="20"/>
        </w:rPr>
      </w:pPr>
      <w:bookmarkStart w:id="271" w:name="_Ref74089097"/>
      <w:r>
        <w:rPr>
          <w:rFonts w:ascii="Times New Roman" w:hAnsi="Times New Roman" w:cs="Times New Roman"/>
          <w:sz w:val="20"/>
        </w:rPr>
        <w:t>R2-2106256, Anchor relocation and context fetch, CMCC</w:t>
      </w:r>
      <w:bookmarkEnd w:id="271"/>
    </w:p>
    <w:p w14:paraId="15B4B82A" w14:textId="77777777" w:rsidR="00EA567C" w:rsidRDefault="00786B2D">
      <w:pPr>
        <w:pStyle w:val="Doc-title"/>
        <w:numPr>
          <w:ilvl w:val="0"/>
          <w:numId w:val="3"/>
        </w:numPr>
        <w:spacing w:after="60"/>
        <w:rPr>
          <w:rFonts w:ascii="Times New Roman" w:hAnsi="Times New Roman" w:cs="Times New Roman"/>
          <w:sz w:val="20"/>
        </w:rPr>
      </w:pPr>
      <w:bookmarkStart w:id="272" w:name="_Ref74222895"/>
      <w:r>
        <w:rPr>
          <w:rFonts w:ascii="Times New Roman" w:hAnsi="Times New Roman" w:cs="Times New Roman"/>
          <w:sz w:val="20"/>
        </w:rPr>
        <w:t>R2-2104401, LS to SA3 on Small data transmissions, Interdigital, April 2021.</w:t>
      </w:r>
      <w:bookmarkEnd w:id="272"/>
      <w:r>
        <w:rPr>
          <w:rFonts w:ascii="Times New Roman" w:hAnsi="Times New Roman" w:cs="Times New Roman"/>
          <w:sz w:val="20"/>
        </w:rPr>
        <w:t xml:space="preserve"> </w:t>
      </w:r>
    </w:p>
    <w:p w14:paraId="15B4B82B" w14:textId="77777777" w:rsidR="00EA567C" w:rsidRDefault="00786B2D">
      <w:pPr>
        <w:pStyle w:val="Doc-title"/>
        <w:numPr>
          <w:ilvl w:val="0"/>
          <w:numId w:val="3"/>
        </w:numPr>
        <w:spacing w:after="60"/>
        <w:rPr>
          <w:rFonts w:ascii="Times New Roman" w:hAnsi="Times New Roman" w:cs="Times New Roman"/>
          <w:sz w:val="20"/>
        </w:rPr>
      </w:pPr>
      <w:bookmarkStart w:id="273" w:name="_Ref74222897"/>
      <w:r>
        <w:rPr>
          <w:rFonts w:ascii="Times New Roman" w:hAnsi="Times New Roman" w:cs="Times New Roman"/>
          <w:sz w:val="20"/>
          <w:lang w:val="en-US"/>
        </w:rPr>
        <w:t>R2-2104644, LS to CT1 on Small data transmissions (Ccing SA2), Intel Corporation, April 2021</w:t>
      </w:r>
      <w:r>
        <w:rPr>
          <w:rFonts w:ascii="Times New Roman" w:hAnsi="Times New Roman" w:cs="Times New Roman"/>
          <w:sz w:val="20"/>
        </w:rPr>
        <w:t>.</w:t>
      </w:r>
      <w:bookmarkEnd w:id="273"/>
    </w:p>
    <w:p w14:paraId="15B4B82C" w14:textId="77777777" w:rsidR="00EA567C" w:rsidRDefault="00EA567C">
      <w:pPr>
        <w:spacing w:before="240" w:after="120"/>
        <w:jc w:val="both"/>
        <w:rPr>
          <w:rFonts w:ascii="Times New Roman" w:hAnsi="Times New Roman" w:cs="Times New Roman"/>
          <w:iCs/>
          <w:sz w:val="20"/>
          <w:szCs w:val="20"/>
          <w:lang w:eastAsia="ja-JP"/>
        </w:rPr>
      </w:pPr>
    </w:p>
    <w:p w14:paraId="15B4B82D" w14:textId="77777777" w:rsidR="00EA567C" w:rsidRDefault="00EA567C">
      <w:pPr>
        <w:spacing w:before="240" w:after="120"/>
        <w:jc w:val="both"/>
        <w:rPr>
          <w:rFonts w:ascii="Times New Roman" w:hAnsi="Times New Roman" w:cs="Times New Roman"/>
          <w:iCs/>
          <w:sz w:val="20"/>
          <w:szCs w:val="20"/>
          <w:lang w:eastAsia="ja-JP"/>
        </w:rPr>
      </w:pPr>
    </w:p>
    <w:sectPr w:rsidR="00EA567C">
      <w:headerReference w:type="even" r:id="rId31"/>
      <w:headerReference w:type="default" r:id="rId32"/>
      <w:footerReference w:type="even" r:id="rId33"/>
      <w:footerReference w:type="default" r:id="rId34"/>
      <w:headerReference w:type="first" r:id="rId35"/>
      <w:footerReference w:type="first" r:id="rId3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0" w:author="ZTE(EV)" w:date="2021-07-12T14:00:00Z" w:initials="Z(EV)">
    <w:p w14:paraId="15B4B833" w14:textId="77777777" w:rsidR="00D56910" w:rsidRDefault="00D56910">
      <w:pPr>
        <w:pStyle w:val="ae"/>
      </w:pPr>
      <w:r>
        <w:rPr>
          <w:rStyle w:val="ad"/>
        </w:rPr>
        <w:annotationRef/>
      </w:r>
      <w:r>
        <w:t xml:space="preserve">In this case we think the UE can initiate a new RRCResume procedure using the normal rules (and then the rest can be up to the network). </w:t>
      </w:r>
    </w:p>
  </w:comment>
  <w:comment w:id="46" w:author="Huawei" w:date="2021-06-24T13:59:00Z" w:initials="dk">
    <w:p w14:paraId="15B4B834" w14:textId="77777777" w:rsidR="00D56910" w:rsidRDefault="00D56910">
      <w:pPr>
        <w:pStyle w:val="ae"/>
      </w:pPr>
      <w:r>
        <w:rPr>
          <w:rStyle w:val="ad"/>
        </w:rPr>
        <w:annotationRef/>
      </w:r>
      <w:r>
        <w:t>There is no such proposal in our paper, so perhaps the reference is wrong? On contrary, we have the following proposal in [12]:</w:t>
      </w:r>
    </w:p>
    <w:p w14:paraId="15B4B835" w14:textId="77777777" w:rsidR="00D56910" w:rsidRDefault="00D56910">
      <w:pPr>
        <w:rPr>
          <w:b/>
          <w:bCs/>
        </w:rPr>
      </w:pPr>
      <w:bookmarkStart w:id="47" w:name="OLE_LINK66"/>
      <w:r>
        <w:rPr>
          <w:b/>
          <w:bCs/>
        </w:rPr>
        <w:t>Proposal 8:</w:t>
      </w:r>
      <w:r>
        <w:rPr>
          <w:rFonts w:eastAsiaTheme="minorEastAsia"/>
          <w:b/>
        </w:rPr>
        <w:t xml:space="preserve"> When UE receives </w:t>
      </w:r>
      <w:r>
        <w:rPr>
          <w:rFonts w:eastAsiaTheme="minorEastAsia"/>
          <w:b/>
          <w:i/>
        </w:rPr>
        <w:t>RRCResume</w:t>
      </w:r>
      <w:r>
        <w:rPr>
          <w:rFonts w:eastAsiaTheme="minorEastAsia"/>
          <w:b/>
        </w:rPr>
        <w:t xml:space="preserve"> message in response to </w:t>
      </w:r>
      <w:r>
        <w:rPr>
          <w:rFonts w:eastAsiaTheme="minorEastAsia"/>
          <w:b/>
          <w:i/>
        </w:rPr>
        <w:t>RRCResumeRequest</w:t>
      </w:r>
      <w:r>
        <w:rPr>
          <w:rFonts w:eastAsiaTheme="minorEastAsia"/>
          <w:b/>
        </w:rPr>
        <w:t xml:space="preserve"> message for SDT, the UE shall only re-establish PDCP entities for non-SDT RBs</w:t>
      </w:r>
      <w:r>
        <w:rPr>
          <w:b/>
          <w:bCs/>
        </w:rPr>
        <w:t>.</w:t>
      </w:r>
      <w:bookmarkEnd w:id="47"/>
    </w:p>
  </w:comment>
  <w:comment w:id="71" w:author="ZTE(EV)" w:date="2021-07-12T14:46:00Z" w:initials="Z(EV)">
    <w:p w14:paraId="15B4B836" w14:textId="77777777" w:rsidR="00D56910" w:rsidRDefault="00D56910">
      <w:pPr>
        <w:pStyle w:val="ae"/>
      </w:pPr>
      <w:r>
        <w:rPr>
          <w:rStyle w:val="ad"/>
        </w:rPr>
        <w:annotationRef/>
      </w:r>
      <w:r>
        <w:t>This will still need some means to distinguish 1</w:t>
      </w:r>
      <w:r>
        <w:rPr>
          <w:vertAlign w:val="superscript"/>
        </w:rPr>
        <w:t>st</w:t>
      </w:r>
      <w:r>
        <w:t xml:space="preserve"> and 2</w:t>
      </w:r>
      <w:r>
        <w:rPr>
          <w:vertAlign w:val="superscript"/>
        </w:rPr>
        <w:t>nd</w:t>
      </w:r>
      <w:r>
        <w:t xml:space="preserve"> RRCResumeReq message since the UE may abort the 1</w:t>
      </w:r>
      <w:r>
        <w:rPr>
          <w:vertAlign w:val="superscript"/>
        </w:rPr>
        <w:t>st</w:t>
      </w:r>
      <w:r>
        <w:t xml:space="preserve"> RRCResume procedure autonomously (i.e. before contention resolution etc)… please see more details below…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5B4B833" w15:done="0"/>
  <w15:commentEx w15:paraId="15B4B835" w15:done="0"/>
  <w15:commentEx w15:paraId="15B4B83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5B4B833" w16cid:durableId="24A1C194"/>
  <w16cid:commentId w16cid:paraId="15B4B835" w16cid:durableId="24A1C195"/>
  <w16cid:commentId w16cid:paraId="15B4B836" w16cid:durableId="24A1C19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F2DD26" w14:textId="77777777" w:rsidR="006751AF" w:rsidRDefault="006751AF">
      <w:pPr>
        <w:spacing w:after="0" w:line="240" w:lineRule="auto"/>
      </w:pPr>
      <w:r>
        <w:separator/>
      </w:r>
    </w:p>
  </w:endnote>
  <w:endnote w:type="continuationSeparator" w:id="0">
    <w:p w14:paraId="13A497E5" w14:textId="77777777" w:rsidR="006751AF" w:rsidRDefault="006751AF">
      <w:pPr>
        <w:spacing w:after="0" w:line="240" w:lineRule="auto"/>
      </w:pPr>
      <w:r>
        <w:continuationSeparator/>
      </w:r>
    </w:p>
  </w:endnote>
  <w:endnote w:type="continuationNotice" w:id="1">
    <w:p w14:paraId="0DBF3DD9" w14:textId="77777777" w:rsidR="006751AF" w:rsidRDefault="006751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Bold">
    <w:altName w:val="Times New Roman"/>
    <w:panose1 w:val="02020803070505020304"/>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altName w:val="Segoe Print"/>
    <w:charset w:val="02"/>
    <w:family w:val="decorative"/>
    <w:pitch w:val="default"/>
    <w:sig w:usb0="00000000" w:usb1="00000000" w:usb2="00000000" w:usb3="00000000" w:csb0="80000000" w:csb1="00000000"/>
  </w:font>
  <w:font w:name="Batang">
    <w:altName w:val="Arial Unicode MS"/>
    <w:panose1 w:val="02030600000101010101"/>
    <w:charset w:val="81"/>
    <w:family w:val="auto"/>
    <w:notTrueType/>
    <w:pitch w:val="fixed"/>
    <w:sig w:usb0="00000001" w:usb1="09060000" w:usb2="00000010" w:usb3="00000000" w:csb0="00080000" w:csb1="00000000"/>
  </w:font>
  <w:font w:name="PMingLiU">
    <w:altName w:val="Arial Unicode MS"/>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4B83F" w14:textId="77777777" w:rsidR="00D56910" w:rsidRDefault="00D56910">
    <w:pPr>
      <w:pStyle w:val="af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4B840" w14:textId="77777777" w:rsidR="00D56910" w:rsidRDefault="00D56910">
    <w:pPr>
      <w:pStyle w:val="af2"/>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4B842" w14:textId="77777777" w:rsidR="00D56910" w:rsidRDefault="00D56910">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514CE9" w14:textId="77777777" w:rsidR="006751AF" w:rsidRDefault="006751AF">
      <w:pPr>
        <w:spacing w:after="0" w:line="240" w:lineRule="auto"/>
      </w:pPr>
      <w:r>
        <w:separator/>
      </w:r>
    </w:p>
  </w:footnote>
  <w:footnote w:type="continuationSeparator" w:id="0">
    <w:p w14:paraId="2481EFB3" w14:textId="77777777" w:rsidR="006751AF" w:rsidRDefault="006751AF">
      <w:pPr>
        <w:spacing w:after="0" w:line="240" w:lineRule="auto"/>
      </w:pPr>
      <w:r>
        <w:continuationSeparator/>
      </w:r>
    </w:p>
  </w:footnote>
  <w:footnote w:type="continuationNotice" w:id="1">
    <w:p w14:paraId="43D3C21D" w14:textId="77777777" w:rsidR="006751AF" w:rsidRDefault="006751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4B83D" w14:textId="77777777" w:rsidR="00D56910" w:rsidRDefault="00D56910">
    <w:pPr>
      <w:pStyle w:val="a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4B83E" w14:textId="77777777" w:rsidR="00D56910" w:rsidRDefault="00D56910">
    <w:pPr>
      <w:pStyle w:val="a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4B841" w14:textId="77777777" w:rsidR="00D56910" w:rsidRDefault="00D56910">
    <w:pPr>
      <w:pStyle w:val="a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633BB"/>
    <w:multiLevelType w:val="multilevel"/>
    <w:tmpl w:val="BB9CC1D8"/>
    <w:lvl w:ilvl="0">
      <w:start w:val="1"/>
      <w:numFmt w:val="decimal"/>
      <w:lvlText w:val="Q.%1)"/>
      <w:lvlJc w:val="left"/>
      <w:pPr>
        <w:ind w:left="360" w:hanging="360"/>
      </w:pPr>
      <w:rPr>
        <w:rFonts w:ascii="Times New Roman Bold" w:hAnsi="Times New Roman Bold" w:hint="default"/>
        <w:b/>
        <w:i w:val="0"/>
        <w:color w:val="0000CC"/>
        <w:sz w:val="20"/>
      </w:rPr>
    </w:lvl>
    <w:lvl w:ilvl="1">
      <w:start w:val="1"/>
      <w:numFmt w:val="decimal"/>
      <w:lvlText w:val="Q.%1.%2)"/>
      <w:lvlJc w:val="left"/>
      <w:pPr>
        <w:ind w:left="792" w:hanging="432"/>
      </w:pPr>
      <w:rPr>
        <w:rFonts w:ascii="Times New Roman Bold" w:hAnsi="Times New Roman Bold" w:hint="default"/>
        <w:b/>
        <w:i w:val="0"/>
        <w:color w:val="0000CC"/>
        <w:sz w:val="20"/>
      </w:rPr>
    </w:lvl>
    <w:lvl w:ilvl="2">
      <w:start w:val="1"/>
      <w:numFmt w:val="decimal"/>
      <w:lvlText w:val="Q.%1.%2.%3)"/>
      <w:lvlJc w:val="left"/>
      <w:pPr>
        <w:ind w:left="1224" w:hanging="504"/>
      </w:pPr>
      <w:rPr>
        <w:rFonts w:ascii="Times New Roman Bold" w:hAnsi="Times New Roman Bold" w:hint="default"/>
        <w:b/>
        <w:i w:val="0"/>
        <w:color w:val="0000CC"/>
        <w:sz w:val="20"/>
      </w:rPr>
    </w:lvl>
    <w:lvl w:ilvl="3">
      <w:start w:val="1"/>
      <w:numFmt w:val="decimal"/>
      <w:lvlText w:val="Q.%1.%2.%3.%4)"/>
      <w:lvlJc w:val="left"/>
      <w:pPr>
        <w:ind w:left="1728" w:hanging="648"/>
      </w:pPr>
      <w:rPr>
        <w:rFonts w:ascii="Times New Roman Bold" w:hAnsi="Times New Roman Bold" w:hint="default"/>
        <w:b/>
        <w:i w:val="0"/>
        <w:color w:val="0000CC"/>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914A82"/>
    <w:multiLevelType w:val="hybridMultilevel"/>
    <w:tmpl w:val="1A7695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2C0862"/>
    <w:multiLevelType w:val="multilevel"/>
    <w:tmpl w:val="B696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A950A7"/>
    <w:multiLevelType w:val="hybridMultilevel"/>
    <w:tmpl w:val="A5960470"/>
    <w:lvl w:ilvl="0" w:tplc="32763680">
      <w:start w:val="1"/>
      <w:numFmt w:val="bullet"/>
      <w:lvlText w:val="-"/>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5525DF"/>
    <w:multiLevelType w:val="hybridMultilevel"/>
    <w:tmpl w:val="05921AF0"/>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EC81AE8"/>
    <w:multiLevelType w:val="hybridMultilevel"/>
    <w:tmpl w:val="AF608A74"/>
    <w:lvl w:ilvl="0" w:tplc="4ED015E8">
      <w:start w:val="1"/>
      <w:numFmt w:val="lowerLetter"/>
      <w:lvlText w:val="Option %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FD90A83"/>
    <w:multiLevelType w:val="hybridMultilevel"/>
    <w:tmpl w:val="9F5E511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8F6C04"/>
    <w:multiLevelType w:val="hybridMultilevel"/>
    <w:tmpl w:val="605E7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CB56AC"/>
    <w:multiLevelType w:val="hybridMultilevel"/>
    <w:tmpl w:val="B2C6EBAE"/>
    <w:lvl w:ilvl="0" w:tplc="32763680">
      <w:start w:val="1"/>
      <w:numFmt w:val="bullet"/>
      <w:lvlText w:val="-"/>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AF38A314">
      <w:numFmt w:val="bullet"/>
      <w:lvlText w:val="-"/>
      <w:lvlJc w:val="left"/>
      <w:pPr>
        <w:ind w:left="2160" w:hanging="360"/>
      </w:pPr>
      <w:rPr>
        <w:rFonts w:ascii="Times New Roman" w:eastAsia="宋体"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A057AC"/>
    <w:multiLevelType w:val="multilevel"/>
    <w:tmpl w:val="BB9CC1D8"/>
    <w:lvl w:ilvl="0">
      <w:start w:val="1"/>
      <w:numFmt w:val="decimal"/>
      <w:lvlText w:val="Q.%1)"/>
      <w:lvlJc w:val="left"/>
      <w:pPr>
        <w:ind w:left="360" w:hanging="360"/>
      </w:pPr>
      <w:rPr>
        <w:rFonts w:ascii="Times New Roman Bold" w:hAnsi="Times New Roman Bold" w:hint="default"/>
        <w:b/>
        <w:i w:val="0"/>
        <w:color w:val="0000CC"/>
        <w:sz w:val="20"/>
      </w:rPr>
    </w:lvl>
    <w:lvl w:ilvl="1">
      <w:start w:val="1"/>
      <w:numFmt w:val="decimal"/>
      <w:lvlText w:val="Q.%1.%2)"/>
      <w:lvlJc w:val="left"/>
      <w:pPr>
        <w:ind w:left="792" w:hanging="432"/>
      </w:pPr>
      <w:rPr>
        <w:rFonts w:ascii="Times New Roman Bold" w:hAnsi="Times New Roman Bold" w:hint="default"/>
        <w:b/>
        <w:i w:val="0"/>
        <w:color w:val="0000CC"/>
        <w:sz w:val="20"/>
      </w:rPr>
    </w:lvl>
    <w:lvl w:ilvl="2">
      <w:start w:val="1"/>
      <w:numFmt w:val="decimal"/>
      <w:lvlText w:val="Q.%1.%2.%3)"/>
      <w:lvlJc w:val="left"/>
      <w:pPr>
        <w:ind w:left="1224" w:hanging="504"/>
      </w:pPr>
      <w:rPr>
        <w:rFonts w:ascii="Times New Roman Bold" w:hAnsi="Times New Roman Bold" w:hint="default"/>
        <w:b/>
        <w:i w:val="0"/>
        <w:color w:val="0000CC"/>
        <w:sz w:val="20"/>
      </w:rPr>
    </w:lvl>
    <w:lvl w:ilvl="3">
      <w:start w:val="1"/>
      <w:numFmt w:val="decimal"/>
      <w:lvlText w:val="Q.%1.%2.%3.%4)"/>
      <w:lvlJc w:val="left"/>
      <w:pPr>
        <w:ind w:left="1728" w:hanging="648"/>
      </w:pPr>
      <w:rPr>
        <w:rFonts w:ascii="Times New Roman Bold" w:hAnsi="Times New Roman Bold" w:hint="default"/>
        <w:b/>
        <w:i w:val="0"/>
        <w:color w:val="0000CC"/>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54A3A95"/>
    <w:multiLevelType w:val="multilevel"/>
    <w:tmpl w:val="BB9CC1D8"/>
    <w:lvl w:ilvl="0">
      <w:start w:val="1"/>
      <w:numFmt w:val="decimal"/>
      <w:lvlText w:val="Q.%1)"/>
      <w:lvlJc w:val="left"/>
      <w:pPr>
        <w:ind w:left="360" w:hanging="360"/>
      </w:pPr>
      <w:rPr>
        <w:rFonts w:ascii="Times New Roman Bold" w:hAnsi="Times New Roman Bold" w:hint="default"/>
        <w:b/>
        <w:i w:val="0"/>
        <w:color w:val="0000CC"/>
        <w:sz w:val="20"/>
      </w:rPr>
    </w:lvl>
    <w:lvl w:ilvl="1">
      <w:start w:val="1"/>
      <w:numFmt w:val="decimal"/>
      <w:lvlText w:val="Q.%1.%2)"/>
      <w:lvlJc w:val="left"/>
      <w:pPr>
        <w:ind w:left="792" w:hanging="432"/>
      </w:pPr>
      <w:rPr>
        <w:rFonts w:ascii="Times New Roman Bold" w:hAnsi="Times New Roman Bold" w:hint="default"/>
        <w:b/>
        <w:i w:val="0"/>
        <w:color w:val="0000CC"/>
        <w:sz w:val="20"/>
      </w:rPr>
    </w:lvl>
    <w:lvl w:ilvl="2">
      <w:start w:val="1"/>
      <w:numFmt w:val="decimal"/>
      <w:lvlText w:val="Q.%1.%2.%3)"/>
      <w:lvlJc w:val="left"/>
      <w:pPr>
        <w:ind w:left="1224" w:hanging="504"/>
      </w:pPr>
      <w:rPr>
        <w:rFonts w:ascii="Times New Roman Bold" w:hAnsi="Times New Roman Bold" w:hint="default"/>
        <w:b/>
        <w:i w:val="0"/>
        <w:color w:val="0000CC"/>
        <w:sz w:val="20"/>
      </w:rPr>
    </w:lvl>
    <w:lvl w:ilvl="3">
      <w:start w:val="1"/>
      <w:numFmt w:val="decimal"/>
      <w:lvlText w:val="Q.%1.%2.%3.%4)"/>
      <w:lvlJc w:val="left"/>
      <w:pPr>
        <w:ind w:left="1728" w:hanging="648"/>
      </w:pPr>
      <w:rPr>
        <w:rFonts w:ascii="Times New Roman Bold" w:hAnsi="Times New Roman Bold" w:hint="default"/>
        <w:b/>
        <w:i w:val="0"/>
        <w:color w:val="0000CC"/>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70E7C4D"/>
    <w:multiLevelType w:val="hybridMultilevel"/>
    <w:tmpl w:val="EB4EA4E0"/>
    <w:lvl w:ilvl="0" w:tplc="47AAD830">
      <w:start w:val="1"/>
      <w:numFmt w:val="lowerLetter"/>
      <w:lvlText w:val="option 2.%1)"/>
      <w:lvlJc w:val="left"/>
      <w:pPr>
        <w:ind w:left="77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362C9C"/>
    <w:multiLevelType w:val="hybridMultilevel"/>
    <w:tmpl w:val="4992FCBE"/>
    <w:lvl w:ilvl="0" w:tplc="A518FDD4">
      <w:start w:val="1"/>
      <w:numFmt w:val="decimal"/>
      <w:lvlText w:val="Approach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647301"/>
    <w:multiLevelType w:val="multilevel"/>
    <w:tmpl w:val="41888EF4"/>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5" w15:restartNumberingAfterBreak="0">
    <w:nsid w:val="36D958C3"/>
    <w:multiLevelType w:val="hybridMultilevel"/>
    <w:tmpl w:val="01DC96BE"/>
    <w:lvl w:ilvl="0" w:tplc="6B6C7BE4">
      <w:start w:val="1"/>
      <w:numFmt w:val="lowerLetter"/>
      <w:lvlText w:val="option %1)"/>
      <w:lvlJc w:val="left"/>
      <w:pPr>
        <w:ind w:left="720" w:hanging="360"/>
      </w:pPr>
      <w:rPr>
        <w:rFonts w:ascii="Times New Roman Bold" w:hAnsi="Times New Roman Bold" w:hint="default"/>
        <w:b/>
        <w:i w:val="0"/>
        <w:color w:val="0000CC"/>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793482"/>
    <w:multiLevelType w:val="hybridMultilevel"/>
    <w:tmpl w:val="305CC33C"/>
    <w:lvl w:ilvl="0" w:tplc="32763680">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1CB526B"/>
    <w:multiLevelType w:val="hybridMultilevel"/>
    <w:tmpl w:val="3488BDC2"/>
    <w:lvl w:ilvl="0" w:tplc="32763680">
      <w:start w:val="1"/>
      <w:numFmt w:val="bullet"/>
      <w:lvlText w:val="-"/>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2C32BE"/>
    <w:multiLevelType w:val="hybridMultilevel"/>
    <w:tmpl w:val="A208B906"/>
    <w:lvl w:ilvl="0" w:tplc="376A3DA6">
      <w:start w:val="1"/>
      <w:numFmt w:val="decimal"/>
      <w:lvlText w:val="Q%1)"/>
      <w:lvlJc w:val="righ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55470F"/>
    <w:multiLevelType w:val="hybridMultilevel"/>
    <w:tmpl w:val="B78E44C0"/>
    <w:lvl w:ilvl="0" w:tplc="CAB28F10">
      <w:start w:val="1"/>
      <w:numFmt w:val="decimal"/>
      <w:pStyle w:val="NO"/>
      <w:lvlText w:val="Observation %1:"/>
      <w:lvlJc w:val="left"/>
      <w:pPr>
        <w:ind w:left="720" w:hanging="360"/>
      </w:pPr>
      <w:rPr>
        <w:rFonts w:ascii="Calibri" w:hAnsi="Calibri"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69A369D"/>
    <w:multiLevelType w:val="hybridMultilevel"/>
    <w:tmpl w:val="F2762D86"/>
    <w:lvl w:ilvl="0" w:tplc="815E5150">
      <w:start w:val="1"/>
      <w:numFmt w:val="lowerLetter"/>
      <w:lvlText w:val="option 7.%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7F4516"/>
    <w:multiLevelType w:val="multilevel"/>
    <w:tmpl w:val="4D7C0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0A7848"/>
    <w:multiLevelType w:val="hybridMultilevel"/>
    <w:tmpl w:val="EBC8D516"/>
    <w:lvl w:ilvl="0" w:tplc="13C48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9C0284"/>
    <w:multiLevelType w:val="hybridMultilevel"/>
    <w:tmpl w:val="82627CA6"/>
    <w:lvl w:ilvl="0" w:tplc="E38284A0">
      <w:start w:val="1"/>
      <w:numFmt w:val="lowerLetter"/>
      <w:lvlText w:val="optoin 9.%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292EBA"/>
    <w:multiLevelType w:val="hybridMultilevel"/>
    <w:tmpl w:val="B292FF62"/>
    <w:lvl w:ilvl="0" w:tplc="32763680">
      <w:start w:val="1"/>
      <w:numFmt w:val="bullet"/>
      <w:lvlText w:val="-"/>
      <w:lvlJc w:val="left"/>
      <w:pPr>
        <w:ind w:left="720" w:hanging="360"/>
      </w:pPr>
      <w:rPr>
        <w:rFonts w:ascii="Courier New" w:hAnsi="Courier New" w:hint="default"/>
      </w:rPr>
    </w:lvl>
    <w:lvl w:ilvl="1" w:tplc="32763680">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A33AED"/>
    <w:multiLevelType w:val="hybridMultilevel"/>
    <w:tmpl w:val="D19E107E"/>
    <w:lvl w:ilvl="0" w:tplc="B52E1966">
      <w:start w:val="1"/>
      <w:numFmt w:val="decimal"/>
      <w:lvlText w:val="Event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F33B38"/>
    <w:multiLevelType w:val="hybridMultilevel"/>
    <w:tmpl w:val="428AFDD0"/>
    <w:lvl w:ilvl="0" w:tplc="32763680">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7366F1B"/>
    <w:multiLevelType w:val="hybridMultilevel"/>
    <w:tmpl w:val="ED1E40CE"/>
    <w:lvl w:ilvl="0" w:tplc="CDE8EA66">
      <w:start w:val="1"/>
      <w:numFmt w:val="lowerLetter"/>
      <w:lvlText w:val="Option 1.%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A715986"/>
    <w:multiLevelType w:val="hybridMultilevel"/>
    <w:tmpl w:val="1F0A0BB4"/>
    <w:lvl w:ilvl="0" w:tplc="65086D94">
      <w:start w:val="1"/>
      <w:numFmt w:val="decimal"/>
      <w:pStyle w:val="NP"/>
      <w:lvlText w:val="Proposal %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5B52271D"/>
    <w:multiLevelType w:val="hybridMultilevel"/>
    <w:tmpl w:val="3B349226"/>
    <w:lvl w:ilvl="0" w:tplc="99106B1A">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587355"/>
    <w:multiLevelType w:val="hybridMultilevel"/>
    <w:tmpl w:val="8DE4EEB6"/>
    <w:lvl w:ilvl="0" w:tplc="A5BEFFB8">
      <w:start w:val="1"/>
      <w:numFmt w:val="decimal"/>
      <w:lvlText w:val="option 16.%1)"/>
      <w:lvlJc w:val="left"/>
      <w:pPr>
        <w:ind w:left="720" w:hanging="360"/>
      </w:pPr>
      <w:rPr>
        <w:rFonts w:ascii="Times New Roman Bold" w:hAnsi="Times New Roman Bold" w:hint="default"/>
        <w:b/>
        <w:i w:val="0"/>
        <w:color w:val="0000CC"/>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582A0C"/>
    <w:multiLevelType w:val="hybridMultilevel"/>
    <w:tmpl w:val="CDBEA00E"/>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376668"/>
    <w:multiLevelType w:val="hybridMultilevel"/>
    <w:tmpl w:val="DAAA2F7E"/>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392046"/>
    <w:multiLevelType w:val="hybridMultilevel"/>
    <w:tmpl w:val="C1B4C73C"/>
    <w:lvl w:ilvl="0" w:tplc="32763680">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8C06571"/>
    <w:multiLevelType w:val="hybridMultilevel"/>
    <w:tmpl w:val="BAB406A8"/>
    <w:lvl w:ilvl="0" w:tplc="A84606C4">
      <w:start w:val="1"/>
      <w:numFmt w:val="bullet"/>
      <w:lvlText w:val="-"/>
      <w:lvlJc w:val="left"/>
      <w:pPr>
        <w:ind w:left="720" w:hanging="360"/>
      </w:pPr>
      <w:rPr>
        <w:rFonts w:ascii="Courier New" w:hAnsi="Courier New"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BD473D"/>
    <w:multiLevelType w:val="hybridMultilevel"/>
    <w:tmpl w:val="3E46777A"/>
    <w:lvl w:ilvl="0" w:tplc="F074194E">
      <w:start w:val="1"/>
      <w:numFmt w:val="lowerLetter"/>
      <w:lvlText w:val="option 11.%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0476B9"/>
    <w:multiLevelType w:val="hybridMultilevel"/>
    <w:tmpl w:val="D918F2DE"/>
    <w:lvl w:ilvl="0" w:tplc="A5D8C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060014"/>
    <w:multiLevelType w:val="hybridMultilevel"/>
    <w:tmpl w:val="91DACDCC"/>
    <w:lvl w:ilvl="0" w:tplc="867CC2E4">
      <w:start w:val="1"/>
      <w:numFmt w:val="decimal"/>
      <w:lvlText w:val="%1)"/>
      <w:lvlJc w:val="left"/>
      <w:pPr>
        <w:ind w:left="720" w:hanging="360"/>
      </w:pPr>
      <w:rPr>
        <w:rFonts w:hint="default"/>
        <w:b/>
        <w:i w:val="0"/>
      </w:rPr>
    </w:lvl>
    <w:lvl w:ilvl="1" w:tplc="DDB0432A">
      <w:start w:val="1"/>
      <w:numFmt w:val="decimal"/>
      <w:lvlText w:val="3.%2)"/>
      <w:lvlJc w:val="left"/>
      <w:pPr>
        <w:ind w:left="1440" w:hanging="360"/>
      </w:pPr>
      <w:rPr>
        <w:rFonts w:hint="default"/>
        <w:b/>
        <w:i w:val="0"/>
      </w:rPr>
    </w:lvl>
    <w:lvl w:ilvl="2" w:tplc="9A6239B8">
      <w:start w:val="1"/>
      <w:numFmt w:val="lowerLetter"/>
      <w:lvlText w:val="option 6.%3)"/>
      <w:lvlJc w:val="right"/>
      <w:pPr>
        <w:ind w:left="2160" w:hanging="180"/>
      </w:pPr>
      <w:rPr>
        <w:rFonts w:hint="default"/>
        <w:b/>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794AD9"/>
    <w:multiLevelType w:val="hybridMultilevel"/>
    <w:tmpl w:val="FE801338"/>
    <w:lvl w:ilvl="0" w:tplc="1B26FCFE">
      <w:start w:val="1"/>
      <w:numFmt w:val="decimal"/>
      <w:lvlText w:val="Discussion point %1)"/>
      <w:lvlJc w:val="left"/>
      <w:pPr>
        <w:ind w:left="720" w:hanging="360"/>
      </w:pPr>
      <w:rPr>
        <w:rFonts w:hint="default"/>
        <w:b/>
        <w:i w:val="0"/>
      </w:rPr>
    </w:lvl>
    <w:lvl w:ilvl="1" w:tplc="960EFB30">
      <w:start w:val="1"/>
      <w:numFmt w:val="upperLetter"/>
      <w:lvlText w:val="%2)"/>
      <w:lvlJc w:val="left"/>
      <w:pPr>
        <w:ind w:left="1440" w:hanging="360"/>
      </w:pPr>
      <w:rPr>
        <w:rFonts w:hint="default"/>
        <w:b/>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3B17FE"/>
    <w:multiLevelType w:val="hybridMultilevel"/>
    <w:tmpl w:val="189C63F0"/>
    <w:lvl w:ilvl="0" w:tplc="CDE8EA66">
      <w:start w:val="1"/>
      <w:numFmt w:val="lowerLetter"/>
      <w:lvlText w:val="Option 1.%1)"/>
      <w:lvlJc w:val="left"/>
      <w:pPr>
        <w:ind w:left="720" w:hanging="360"/>
      </w:pPr>
      <w:rPr>
        <w:rFonts w:ascii="Times New Roman Bold" w:hAnsi="Times New Roman Bold" w:hint="default"/>
        <w:b/>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40750A"/>
    <w:multiLevelType w:val="hybridMultilevel"/>
    <w:tmpl w:val="9C169386"/>
    <w:lvl w:ilvl="0" w:tplc="32763680">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7CA40C4"/>
    <w:multiLevelType w:val="hybridMultilevel"/>
    <w:tmpl w:val="2BC22416"/>
    <w:lvl w:ilvl="0" w:tplc="C09E0362">
      <w:start w:val="1"/>
      <w:numFmt w:val="decimal"/>
      <w:lvlText w:val="Solution Point %1)"/>
      <w:lvlJc w:val="left"/>
      <w:pPr>
        <w:ind w:left="720" w:hanging="360"/>
      </w:pPr>
      <w:rPr>
        <w:rFonts w:ascii="Times New Roman Bold" w:hAnsi="Times New Roman Bold" w:hint="default"/>
        <w:b/>
        <w:i w:val="0"/>
        <w:color w:val="0000CC"/>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1B634B"/>
    <w:multiLevelType w:val="hybridMultilevel"/>
    <w:tmpl w:val="DA42A5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F46425"/>
    <w:multiLevelType w:val="hybridMultilevel"/>
    <w:tmpl w:val="D9A66432"/>
    <w:lvl w:ilvl="0" w:tplc="AF38A31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C812ADC"/>
    <w:multiLevelType w:val="hybridMultilevel"/>
    <w:tmpl w:val="45FA0C40"/>
    <w:lvl w:ilvl="0" w:tplc="52285C1E">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952D68"/>
    <w:multiLevelType w:val="hybridMultilevel"/>
    <w:tmpl w:val="11F896C6"/>
    <w:lvl w:ilvl="0" w:tplc="AB2AFC6A">
      <w:start w:val="5"/>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DE91733"/>
    <w:multiLevelType w:val="hybridMultilevel"/>
    <w:tmpl w:val="709C7AF4"/>
    <w:lvl w:ilvl="0" w:tplc="8E8297FA">
      <w:start w:val="1"/>
      <w:numFmt w:val="decimal"/>
      <w:lvlText w:val="option 16.%1)"/>
      <w:lvlJc w:val="left"/>
      <w:pPr>
        <w:ind w:left="768" w:hanging="360"/>
      </w:pPr>
      <w:rPr>
        <w:rFonts w:ascii="Times New Roman Bold" w:hAnsi="Times New Roman Bold" w:hint="default"/>
        <w:b/>
        <w:i w:val="0"/>
        <w:color w:val="0000CC"/>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F8E49D8"/>
    <w:multiLevelType w:val="hybridMultilevel"/>
    <w:tmpl w:val="E1BA2138"/>
    <w:lvl w:ilvl="0" w:tplc="E11439F6">
      <w:start w:val="1"/>
      <w:numFmt w:val="lowerLetter"/>
      <w:lvlText w:val="option 10.%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num>
  <w:num w:numId="4">
    <w:abstractNumId w:val="5"/>
  </w:num>
  <w:num w:numId="5">
    <w:abstractNumId w:val="22"/>
  </w:num>
  <w:num w:numId="6">
    <w:abstractNumId w:val="41"/>
  </w:num>
  <w:num w:numId="7">
    <w:abstractNumId w:val="45"/>
  </w:num>
  <w:num w:numId="8">
    <w:abstractNumId w:val="4"/>
  </w:num>
  <w:num w:numId="9">
    <w:abstractNumId w:val="19"/>
  </w:num>
  <w:num w:numId="10">
    <w:abstractNumId w:val="31"/>
  </w:num>
  <w:num w:numId="11">
    <w:abstractNumId w:val="47"/>
  </w:num>
  <w:num w:numId="12">
    <w:abstractNumId w:val="24"/>
  </w:num>
  <w:num w:numId="13">
    <w:abstractNumId w:val="6"/>
  </w:num>
  <w:num w:numId="14">
    <w:abstractNumId w:val="30"/>
  </w:num>
  <w:num w:numId="15">
    <w:abstractNumId w:val="40"/>
  </w:num>
  <w:num w:numId="16">
    <w:abstractNumId w:val="20"/>
  </w:num>
  <w:num w:numId="17">
    <w:abstractNumId w:val="25"/>
  </w:num>
  <w:num w:numId="18">
    <w:abstractNumId w:val="38"/>
  </w:num>
  <w:num w:numId="19">
    <w:abstractNumId w:val="18"/>
  </w:num>
  <w:num w:numId="20">
    <w:abstractNumId w:val="28"/>
  </w:num>
  <w:num w:numId="21">
    <w:abstractNumId w:val="35"/>
  </w:num>
  <w:num w:numId="22">
    <w:abstractNumId w:val="17"/>
  </w:num>
  <w:num w:numId="23">
    <w:abstractNumId w:val="13"/>
  </w:num>
  <w:num w:numId="24">
    <w:abstractNumId w:val="37"/>
  </w:num>
  <w:num w:numId="25">
    <w:abstractNumId w:val="26"/>
  </w:num>
  <w:num w:numId="26">
    <w:abstractNumId w:val="27"/>
  </w:num>
  <w:num w:numId="27">
    <w:abstractNumId w:val="43"/>
  </w:num>
  <w:num w:numId="28">
    <w:abstractNumId w:val="51"/>
  </w:num>
  <w:num w:numId="29">
    <w:abstractNumId w:val="8"/>
  </w:num>
  <w:num w:numId="30">
    <w:abstractNumId w:val="11"/>
  </w:num>
  <w:num w:numId="31">
    <w:abstractNumId w:val="48"/>
  </w:num>
  <w:num w:numId="32">
    <w:abstractNumId w:val="32"/>
  </w:num>
  <w:num w:numId="33">
    <w:abstractNumId w:val="42"/>
  </w:num>
  <w:num w:numId="34">
    <w:abstractNumId w:val="14"/>
  </w:num>
  <w:num w:numId="35">
    <w:abstractNumId w:val="0"/>
  </w:num>
  <w:num w:numId="36">
    <w:abstractNumId w:val="33"/>
  </w:num>
  <w:num w:numId="37">
    <w:abstractNumId w:val="50"/>
  </w:num>
  <w:num w:numId="38">
    <w:abstractNumId w:val="14"/>
  </w:num>
  <w:num w:numId="39">
    <w:abstractNumId w:val="12"/>
  </w:num>
  <w:num w:numId="40">
    <w:abstractNumId w:val="34"/>
  </w:num>
  <w:num w:numId="41">
    <w:abstractNumId w:val="3"/>
  </w:num>
  <w:num w:numId="42">
    <w:abstractNumId w:val="9"/>
  </w:num>
  <w:num w:numId="43">
    <w:abstractNumId w:val="46"/>
  </w:num>
  <w:num w:numId="44">
    <w:abstractNumId w:val="10"/>
  </w:num>
  <w:num w:numId="45">
    <w:abstractNumId w:val="44"/>
  </w:num>
  <w:num w:numId="46">
    <w:abstractNumId w:val="15"/>
  </w:num>
  <w:num w:numId="47">
    <w:abstractNumId w:val="23"/>
  </w:num>
  <w:num w:numId="48">
    <w:abstractNumId w:val="14"/>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4"/>
  </w:num>
  <w:num w:numId="50">
    <w:abstractNumId w:val="2"/>
  </w:num>
  <w:num w:numId="51">
    <w:abstractNumId w:val="49"/>
  </w:num>
  <w:num w:numId="52">
    <w:abstractNumId w:val="1"/>
  </w:num>
  <w:num w:numId="53">
    <w:abstractNumId w:val="7"/>
  </w:num>
  <w:num w:numId="54">
    <w:abstractNumId w:val="21"/>
  </w:num>
  <w:num w:numId="55">
    <w:abstractNumId w:val="37"/>
  </w:num>
  <w:num w:numId="56">
    <w:abstractNumId w:val="36"/>
  </w:num>
  <w:num w:numId="57">
    <w:abstractNumId w:val="29"/>
  </w:num>
  <w:num w:numId="58">
    <w:abstractNumId w:val="16"/>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tel">
    <w15:presenceInfo w15:providerId="None" w15:userId="Intel"/>
  </w15:person>
  <w15:person w15:author="Huawei">
    <w15:presenceInfo w15:providerId="None" w15:userId="Huawei"/>
  </w15:person>
  <w15:person w15:author="ZTE(EV)">
    <w15:presenceInfo w15:providerId="None" w15:userId="ZTE(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67C"/>
    <w:rsid w:val="00035B12"/>
    <w:rsid w:val="000C5235"/>
    <w:rsid w:val="00101B1B"/>
    <w:rsid w:val="00137DE0"/>
    <w:rsid w:val="002777CB"/>
    <w:rsid w:val="003A606C"/>
    <w:rsid w:val="003D1C62"/>
    <w:rsid w:val="004505A3"/>
    <w:rsid w:val="0046793E"/>
    <w:rsid w:val="00470884"/>
    <w:rsid w:val="00481D0E"/>
    <w:rsid w:val="00584FDD"/>
    <w:rsid w:val="006135BD"/>
    <w:rsid w:val="006751AF"/>
    <w:rsid w:val="00786B2D"/>
    <w:rsid w:val="00856218"/>
    <w:rsid w:val="008F6268"/>
    <w:rsid w:val="008F7925"/>
    <w:rsid w:val="00901CFF"/>
    <w:rsid w:val="009C6CE5"/>
    <w:rsid w:val="00A50B88"/>
    <w:rsid w:val="00AE3088"/>
    <w:rsid w:val="00AE78A2"/>
    <w:rsid w:val="00AE79EF"/>
    <w:rsid w:val="00B330E6"/>
    <w:rsid w:val="00BB6D64"/>
    <w:rsid w:val="00CF726A"/>
    <w:rsid w:val="00CF7EA7"/>
    <w:rsid w:val="00D40E3B"/>
    <w:rsid w:val="00D52839"/>
    <w:rsid w:val="00D56910"/>
    <w:rsid w:val="00EA2B92"/>
    <w:rsid w:val="00EA567C"/>
    <w:rsid w:val="00EA7D9B"/>
    <w:rsid w:val="00EF1350"/>
    <w:rsid w:val="00F9333A"/>
    <w:rsid w:val="00FB12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5B4B1EE"/>
  <w15:docId w15:val="{C8AEF9EC-24FE-4B7B-A30C-0566FA619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PMingLiU"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rPr>
  </w:style>
  <w:style w:type="paragraph" w:styleId="1">
    <w:name w:val="heading 1"/>
    <w:aliases w:val="H1,h1,Heading 1 3GPP,NMP Heading 1,h11,h12,h13,h14,h15,h16,app heading 1,l1,Memo Heading 1,Heading 1_a,heading 1,h17,h111,h121,h131,h141,h151,h161,h18,h112,h122,h132,h142,h152,h162,h19,h113,h123,h133,h143,h153,h163,1. Heading"/>
    <w:basedOn w:val="a0"/>
    <w:next w:val="a"/>
    <w:link w:val="10"/>
    <w:autoRedefine/>
    <w:qFormat/>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next w:val="a"/>
    <w:link w:val="20"/>
    <w:unhideWhenUsed/>
    <w:qFormat/>
    <w:pPr>
      <w:numPr>
        <w:ilvl w:val="1"/>
      </w:numPr>
      <w:pBdr>
        <w:top w:val="none" w:sz="0" w:space="0" w:color="auto"/>
      </w:pBdr>
      <w:spacing w:before="180"/>
      <w:outlineLvl w:val="1"/>
    </w:pPr>
    <w:rPr>
      <w:sz w:val="32"/>
    </w:rPr>
  </w:style>
  <w:style w:type="paragraph" w:styleId="3">
    <w:name w:val="heading 3"/>
    <w:aliases w:val="Heading 3 3GPP,no break,H3,Underrubrik2,h3,Memo Heading 3,hello,Titre 3 Car,no break Car,H3 Car,Underrubrik2 Car,h3 Car,Memo Heading 3 Car,hello Car,Heading 3 Char Car,no break Char Car,H3 Char Car,Underrubrik2 Char Car,h3 Char Car,0H"/>
    <w:basedOn w:val="2"/>
    <w:next w:val="a"/>
    <w:link w:val="30"/>
    <w:unhideWhenUsed/>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4,Memo,5,3,no,break,4H,Head4,41,42,43,411,421,44,412"/>
    <w:basedOn w:val="a"/>
    <w:next w:val="a"/>
    <w:link w:val="40"/>
    <w:unhideWhenUsed/>
    <w:qFormat/>
    <w:pPr>
      <w:keepNext/>
      <w:numPr>
        <w:ilvl w:val="3"/>
        <w:numId w:val="1"/>
      </w:numPr>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x-none" w:eastAsia="x-none"/>
    </w:rPr>
  </w:style>
  <w:style w:type="paragraph" w:styleId="5">
    <w:name w:val="heading 5"/>
    <w:aliases w:val="h5,Heading5"/>
    <w:basedOn w:val="a"/>
    <w:next w:val="a"/>
    <w:link w:val="50"/>
    <w:unhideWhenUsed/>
    <w:qFormat/>
    <w:pPr>
      <w:keepNext/>
      <w:keepLines/>
      <w:numPr>
        <w:ilvl w:val="4"/>
        <w:numId w:val="1"/>
      </w:numPr>
      <w:overflowPunct w:val="0"/>
      <w:autoSpaceDE w:val="0"/>
      <w:autoSpaceDN w:val="0"/>
      <w:adjustRightInd w:val="0"/>
      <w:spacing w:before="200" w:after="0" w:line="240" w:lineRule="auto"/>
      <w:outlineLvl w:val="4"/>
    </w:pPr>
    <w:rPr>
      <w:rFonts w:ascii="Cambria" w:eastAsia="宋体" w:hAnsi="Cambria" w:cs="Times New Roman"/>
      <w:color w:val="243F60"/>
      <w:sz w:val="20"/>
      <w:szCs w:val="20"/>
      <w:lang w:val="x-none" w:eastAsia="x-none"/>
    </w:rPr>
  </w:style>
  <w:style w:type="paragraph" w:styleId="6">
    <w:name w:val="heading 6"/>
    <w:basedOn w:val="a"/>
    <w:next w:val="a"/>
    <w:link w:val="60"/>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x-none" w:eastAsia="x-none"/>
    </w:rPr>
  </w:style>
  <w:style w:type="paragraph" w:styleId="7">
    <w:name w:val="heading 7"/>
    <w:basedOn w:val="a"/>
    <w:next w:val="a"/>
    <w:link w:val="70"/>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x-none" w:eastAsia="x-none"/>
    </w:rPr>
  </w:style>
  <w:style w:type="paragraph" w:styleId="8">
    <w:name w:val="heading 8"/>
    <w:basedOn w:val="a"/>
    <w:next w:val="a"/>
    <w:link w:val="80"/>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x-none" w:eastAsia="x-none"/>
    </w:rPr>
  </w:style>
  <w:style w:type="paragraph" w:styleId="9">
    <w:name w:val="heading 9"/>
    <w:basedOn w:val="a"/>
    <w:next w:val="a"/>
    <w:link w:val="90"/>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aliases w:val="H1 字符,h1 字符,Heading 1 3GPP 字符,NMP Heading 1 字符,h11 字符,h12 字符,h13 字符,h14 字符,h15 字符,h16 字符,app heading 1 字符,l1 字符,Memo Heading 1 字符,Heading 1_a 字符,heading 1 字符,h17 字符,h111 字符,h121 字符,h131 字符,h141 字符,h151 字符,h161 字符,h18 字符,h112 字符,h122 字符,h132 字符"/>
    <w:basedOn w:val="a1"/>
    <w:link w:val="1"/>
    <w:rPr>
      <w:rFonts w:ascii="Arial" w:eastAsia="Arial" w:hAnsi="Arial" w:cs="Times New Roman"/>
      <w:noProof/>
      <w:sz w:val="36"/>
      <w:szCs w:val="20"/>
      <w:lang w:val="en-GB" w:eastAsia="x-none"/>
    </w:rPr>
  </w:style>
  <w:style w:type="character" w:customStyle="1" w:styleId="20">
    <w:name w:val="标题 2 字符"/>
    <w:aliases w:val="H2 字符,h2 字符,DO NOT USE_h2 字符,h21 字符,Heading 2 3GPP 字符,Head2A 字符,2 字符,Head 2 字符,l2 字符,TitreProp 字符,UNDERRUBRIK 1-2 字符,Header 2 字符,ITT t2 字符,PA Major Section 字符,Livello 2 字符,R2 字符,H21 字符,Heading 2 Hidden 字符,Head1 字符,2nd level 字符,heading 2 字符,I2 字符"/>
    <w:basedOn w:val="a1"/>
    <w:link w:val="2"/>
    <w:rPr>
      <w:rFonts w:ascii="Arial" w:eastAsia="Arial" w:hAnsi="Arial" w:cs="Times New Roman"/>
      <w:noProof/>
      <w:sz w:val="32"/>
      <w:szCs w:val="20"/>
      <w:lang w:val="en-GB" w:eastAsia="x-none"/>
    </w:rPr>
  </w:style>
  <w:style w:type="character" w:customStyle="1" w:styleId="30">
    <w:name w:val="标题 3 字符"/>
    <w:aliases w:val="Heading 3 3GPP 字符,no break 字符,H3 字符,Underrubrik2 字符,h3 字符,Memo Heading 3 字符,hello 字符,Titre 3 Car 字符,no break Car 字符,H3 Car 字符,Underrubrik2 Car 字符,h3 Car 字符,Memo Heading 3 Car 字符,hello Car 字符,Heading 3 Char Car 字符,no break Char Car 字符,0H 字符"/>
    <w:basedOn w:val="a1"/>
    <w:link w:val="3"/>
    <w:rPr>
      <w:rFonts w:ascii="Arial" w:eastAsia="Arial" w:hAnsi="Arial" w:cs="Times New Roman"/>
      <w:noProof/>
      <w:sz w:val="28"/>
      <w:szCs w:val="20"/>
      <w:lang w:val="en-GB" w:eastAsia="x-none"/>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1"/>
    <w:link w:val="4"/>
    <w:rPr>
      <w:rFonts w:ascii="Calibri" w:eastAsia="Times New Roman" w:hAnsi="Calibri" w:cs="Times New Roman"/>
      <w:b/>
      <w:bCs/>
      <w:sz w:val="28"/>
      <w:szCs w:val="28"/>
      <w:lang w:val="x-none" w:eastAsia="x-none"/>
    </w:rPr>
  </w:style>
  <w:style w:type="character" w:customStyle="1" w:styleId="50">
    <w:name w:val="标题 5 字符"/>
    <w:aliases w:val="h5 字符,Heading5 字符"/>
    <w:basedOn w:val="a1"/>
    <w:link w:val="5"/>
    <w:qFormat/>
    <w:rPr>
      <w:rFonts w:ascii="Cambria" w:eastAsia="宋体" w:hAnsi="Cambria" w:cs="Times New Roman"/>
      <w:color w:val="243F60"/>
      <w:sz w:val="20"/>
      <w:szCs w:val="20"/>
      <w:lang w:val="x-none" w:eastAsia="x-none"/>
    </w:rPr>
  </w:style>
  <w:style w:type="character" w:customStyle="1" w:styleId="60">
    <w:name w:val="标题 6 字符"/>
    <w:basedOn w:val="a1"/>
    <w:link w:val="6"/>
    <w:rPr>
      <w:rFonts w:ascii="Calibri" w:eastAsia="Times New Roman" w:hAnsi="Calibri" w:cs="Times New Roman"/>
      <w:b/>
      <w:bCs/>
      <w:lang w:val="x-none" w:eastAsia="x-none"/>
    </w:rPr>
  </w:style>
  <w:style w:type="character" w:customStyle="1" w:styleId="70">
    <w:name w:val="标题 7 字符"/>
    <w:basedOn w:val="a1"/>
    <w:link w:val="7"/>
    <w:rPr>
      <w:rFonts w:ascii="Calibri" w:eastAsia="Times New Roman" w:hAnsi="Calibri" w:cs="Times New Roman"/>
      <w:sz w:val="24"/>
      <w:szCs w:val="24"/>
      <w:lang w:val="x-none" w:eastAsia="x-none"/>
    </w:rPr>
  </w:style>
  <w:style w:type="character" w:customStyle="1" w:styleId="80">
    <w:name w:val="标题 8 字符"/>
    <w:basedOn w:val="a1"/>
    <w:link w:val="8"/>
    <w:rPr>
      <w:rFonts w:ascii="Calibri" w:eastAsia="Times New Roman" w:hAnsi="Calibri" w:cs="Times New Roman"/>
      <w:i/>
      <w:iCs/>
      <w:sz w:val="24"/>
      <w:szCs w:val="24"/>
      <w:lang w:val="x-none" w:eastAsia="x-none"/>
    </w:rPr>
  </w:style>
  <w:style w:type="character" w:customStyle="1" w:styleId="90">
    <w:name w:val="标题 9 字符"/>
    <w:basedOn w:val="a1"/>
    <w:link w:val="9"/>
    <w:rPr>
      <w:rFonts w:ascii="Calibri Light" w:eastAsia="Times New Roman" w:hAnsi="Calibri Light" w:cs="Times New Roman"/>
      <w:lang w:val="x-none" w:eastAsia="x-none"/>
    </w:rPr>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
    <w:link w:val="a4"/>
    <w:unhideWhenUsed/>
    <w:pPr>
      <w:widowControl w:val="0"/>
      <w:overflowPunct w:val="0"/>
      <w:autoSpaceDE w:val="0"/>
      <w:autoSpaceDN w:val="0"/>
      <w:adjustRightInd w:val="0"/>
      <w:spacing w:after="0" w:line="240" w:lineRule="auto"/>
    </w:pPr>
    <w:rPr>
      <w:rFonts w:ascii="Arial" w:eastAsia="宋体" w:hAnsi="Arial" w:cs="Times New Roman"/>
      <w:b/>
      <w:noProof/>
      <w:sz w:val="18"/>
      <w:szCs w:val="20"/>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1"/>
    <w:link w:val="a0"/>
    <w:rPr>
      <w:rFonts w:ascii="Arial" w:eastAsia="宋体" w:hAnsi="Arial" w:cs="Times New Roman"/>
      <w:b/>
      <w:noProof/>
      <w:sz w:val="18"/>
      <w:szCs w:val="20"/>
    </w:rPr>
  </w:style>
  <w:style w:type="paragraph" w:customStyle="1" w:styleId="CRCoverPage">
    <w:name w:val="CR Cover Page"/>
    <w:pPr>
      <w:spacing w:after="120" w:line="240" w:lineRule="auto"/>
    </w:pPr>
    <w:rPr>
      <w:rFonts w:ascii="Arial" w:eastAsia="MS Mincho" w:hAnsi="Arial" w:cs="Times New Roman"/>
      <w:sz w:val="20"/>
      <w:szCs w:val="20"/>
      <w:lang w:val="en-GB"/>
    </w:rPr>
  </w:style>
  <w:style w:type="character" w:customStyle="1" w:styleId="Doc-titleChar">
    <w:name w:val="Doc-title Char"/>
    <w:link w:val="Doc-title"/>
    <w:qFormat/>
    <w:locked/>
    <w:rPr>
      <w:rFonts w:ascii="Arial" w:eastAsia="MS Mincho" w:hAnsi="Arial" w:cs="Arial"/>
      <w:noProof/>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Arial"/>
      <w:noProof/>
      <w:szCs w:val="24"/>
      <w:lang w:eastAsia="en-GB"/>
    </w:rPr>
  </w:style>
  <w:style w:type="character" w:customStyle="1" w:styleId="THChar">
    <w:name w:val="TH Char"/>
    <w:link w:val="TH"/>
    <w:locked/>
    <w:rPr>
      <w:rFonts w:ascii="Arial" w:hAnsi="Arial" w:cs="Arial"/>
      <w:b/>
      <w:lang w:val="en-GB"/>
    </w:rPr>
  </w:style>
  <w:style w:type="paragraph" w:customStyle="1" w:styleId="TH">
    <w:name w:val="TH"/>
    <w:basedOn w:val="a"/>
    <w:link w:val="THChar"/>
    <w:pPr>
      <w:keepNext/>
      <w:keepLines/>
      <w:spacing w:before="60" w:after="180" w:line="240" w:lineRule="auto"/>
      <w:jc w:val="center"/>
    </w:pPr>
    <w:rPr>
      <w:rFonts w:ascii="Arial" w:hAnsi="Arial" w:cs="Arial"/>
      <w:b/>
    </w:rPr>
  </w:style>
  <w:style w:type="character" w:customStyle="1" w:styleId="TFChar">
    <w:name w:val="TF Char"/>
    <w:link w:val="TF"/>
    <w:locked/>
    <w:rPr>
      <w:rFonts w:ascii="Arial" w:eastAsia="Times New Roman" w:hAnsi="Arial" w:cs="Arial"/>
      <w:b/>
      <w:lang w:val="en-GB" w:eastAsia="ko-KR"/>
    </w:rPr>
  </w:style>
  <w:style w:type="paragraph" w:customStyle="1" w:styleId="TF">
    <w:name w:val="TF"/>
    <w:basedOn w:val="TH"/>
    <w:link w:val="TFChar"/>
    <w:pPr>
      <w:keepNext w:val="0"/>
      <w:overflowPunct w:val="0"/>
      <w:autoSpaceDE w:val="0"/>
      <w:autoSpaceDN w:val="0"/>
      <w:adjustRightInd w:val="0"/>
      <w:spacing w:before="0" w:after="240"/>
    </w:pPr>
    <w:rPr>
      <w:rFonts w:eastAsia="Times New Roman"/>
      <w:lang w:eastAsia="ko-KR"/>
    </w:rPr>
  </w:style>
  <w:style w:type="paragraph" w:styleId="11">
    <w:name w:val="toc 1"/>
    <w:basedOn w:val="a"/>
    <w:next w:val="a"/>
    <w:autoRedefine/>
    <w:uiPriority w:val="39"/>
    <w:unhideWhenUsed/>
    <w:pPr>
      <w:tabs>
        <w:tab w:val="left" w:pos="1418"/>
        <w:tab w:val="right" w:leader="dot" w:pos="9350"/>
      </w:tabs>
      <w:spacing w:after="100"/>
      <w:jc w:val="both"/>
    </w:pPr>
    <w:rPr>
      <w:rFonts w:ascii="Times New Roman" w:eastAsia="Times New Roman" w:hAnsi="Times New Roman" w:cs="Times New Roman"/>
      <w:sz w:val="20"/>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eastAsia="宋体" w:hAnsi="Times New Roman" w:cs="Times New Roman"/>
      <w:sz w:val="20"/>
      <w:szCs w:val="20"/>
      <w:lang w:eastAsia="x-none"/>
    </w:rPr>
  </w:style>
  <w:style w:type="character" w:customStyle="1" w:styleId="ProposalChar">
    <w:name w:val="Proposal Char"/>
    <w:link w:val="Proposal"/>
    <w:rPr>
      <w:rFonts w:ascii="Times New Roman" w:eastAsia="宋体" w:hAnsi="Times New Roman" w:cs="Times New Roman"/>
      <w:sz w:val="20"/>
      <w:szCs w:val="20"/>
      <w:lang w:val="en-GB" w:eastAsia="x-none"/>
    </w:rPr>
  </w:style>
  <w:style w:type="paragraph" w:customStyle="1" w:styleId="observ">
    <w:name w:val="observ."/>
    <w:basedOn w:val="Proposal"/>
    <w:link w:val="observChar"/>
    <w:qFormat/>
    <w:pPr>
      <w:numPr>
        <w:numId w:val="5"/>
      </w:numPr>
    </w:pPr>
    <w:rPr>
      <w:lang w:eastAsia="zh-CN"/>
    </w:rPr>
  </w:style>
  <w:style w:type="character" w:customStyle="1" w:styleId="observChar">
    <w:name w:val="observ. Char"/>
    <w:link w:val="observ"/>
    <w:rPr>
      <w:rFonts w:ascii="Times New Roman" w:eastAsia="宋体" w:hAnsi="Times New Roman" w:cs="Times New Roman"/>
      <w:sz w:val="20"/>
      <w:szCs w:val="20"/>
      <w:lang w:val="en-GB" w:eastAsia="zh-CN"/>
    </w:rPr>
  </w:style>
  <w:style w:type="paragraph" w:customStyle="1" w:styleId="3GPPHeader">
    <w:name w:val="3GPP_Header"/>
    <w:basedOn w:val="a5"/>
    <w:pPr>
      <w:tabs>
        <w:tab w:val="left" w:pos="1701"/>
        <w:tab w:val="right" w:pos="9639"/>
      </w:tabs>
      <w:spacing w:after="240"/>
      <w:jc w:val="both"/>
    </w:pPr>
    <w:rPr>
      <w:rFonts w:ascii="Arial" w:eastAsia="Times New Roman" w:hAnsi="Arial"/>
      <w:b/>
      <w:sz w:val="24"/>
      <w:lang w:eastAsia="zh-CN"/>
    </w:rPr>
  </w:style>
  <w:style w:type="paragraph" w:styleId="a5">
    <w:name w:val="Body Text"/>
    <w:basedOn w:val="a"/>
    <w:link w:val="a6"/>
    <w:uiPriority w:val="99"/>
    <w:semiHidden/>
    <w:unhideWhenUsed/>
    <w:pPr>
      <w:overflowPunct w:val="0"/>
      <w:autoSpaceDE w:val="0"/>
      <w:autoSpaceDN w:val="0"/>
      <w:adjustRightInd w:val="0"/>
      <w:spacing w:after="120" w:line="240" w:lineRule="auto"/>
    </w:pPr>
    <w:rPr>
      <w:rFonts w:ascii="Times New Roman" w:eastAsia="宋体" w:hAnsi="Times New Roman" w:cs="Times New Roman"/>
      <w:sz w:val="20"/>
      <w:szCs w:val="20"/>
    </w:rPr>
  </w:style>
  <w:style w:type="character" w:customStyle="1" w:styleId="a6">
    <w:name w:val="正文文本 字符"/>
    <w:basedOn w:val="a1"/>
    <w:link w:val="a5"/>
    <w:uiPriority w:val="99"/>
    <w:semiHidden/>
    <w:rPr>
      <w:rFonts w:ascii="Times New Roman" w:eastAsia="宋体" w:hAnsi="Times New Roman" w:cs="Times New Roman"/>
      <w:sz w:val="20"/>
      <w:szCs w:val="20"/>
    </w:rPr>
  </w:style>
  <w:style w:type="paragraph" w:styleId="a7">
    <w:name w:val="Balloon Text"/>
    <w:basedOn w:val="a"/>
    <w:link w:val="a8"/>
    <w:uiPriority w:val="99"/>
    <w:semiHidden/>
    <w:unhideWhenUsed/>
    <w:pPr>
      <w:overflowPunct w:val="0"/>
      <w:autoSpaceDE w:val="0"/>
      <w:autoSpaceDN w:val="0"/>
      <w:adjustRightInd w:val="0"/>
      <w:spacing w:after="0" w:line="240" w:lineRule="auto"/>
    </w:pPr>
    <w:rPr>
      <w:rFonts w:ascii="Segoe UI" w:eastAsia="宋体" w:hAnsi="Segoe UI" w:cs="Segoe UI"/>
      <w:sz w:val="18"/>
      <w:szCs w:val="18"/>
    </w:rPr>
  </w:style>
  <w:style w:type="character" w:customStyle="1" w:styleId="a8">
    <w:name w:val="批注框文本 字符"/>
    <w:basedOn w:val="a1"/>
    <w:link w:val="a7"/>
    <w:uiPriority w:val="99"/>
    <w:semiHidden/>
    <w:rPr>
      <w:rFonts w:ascii="Segoe UI" w:eastAsia="宋体" w:hAnsi="Segoe UI" w:cs="Segoe UI"/>
      <w:sz w:val="18"/>
      <w:szCs w:val="18"/>
    </w:rPr>
  </w:style>
  <w:style w:type="paragraph" w:styleId="a9">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목록 단락"/>
    <w:basedOn w:val="a"/>
    <w:link w:val="aa"/>
    <w:uiPriority w:val="34"/>
    <w:qFormat/>
    <w:pPr>
      <w:overflowPunct w:val="0"/>
      <w:autoSpaceDE w:val="0"/>
      <w:autoSpaceDN w:val="0"/>
      <w:adjustRightInd w:val="0"/>
      <w:spacing w:after="180" w:line="240" w:lineRule="auto"/>
      <w:ind w:left="720"/>
      <w:contextualSpacing/>
    </w:pPr>
    <w:rPr>
      <w:rFonts w:ascii="Times New Roman" w:eastAsia="宋体" w:hAnsi="Times New Roman" w:cs="Times New Roman"/>
      <w:sz w:val="20"/>
      <w:szCs w:val="20"/>
    </w:rPr>
  </w:style>
  <w:style w:type="table" w:styleId="ab">
    <w:name w:val="Table Grid"/>
    <w:basedOn w:val="a2"/>
    <w:qFormat/>
    <w:rPr>
      <w:rFonts w:ascii="Times New Roman" w:eastAsia="宋体"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qFormat/>
    <w:rPr>
      <w:color w:val="0000FF"/>
      <w:u w:val="single"/>
    </w:rPr>
  </w:style>
  <w:style w:type="paragraph" w:styleId="51">
    <w:name w:val="List 5"/>
    <w:basedOn w:val="41"/>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1">
    <w:name w:val="List 4"/>
    <w:basedOn w:val="a"/>
    <w:uiPriority w:val="99"/>
    <w:semiHidden/>
    <w:unhideWhenUsed/>
    <w:pPr>
      <w:overflowPunct w:val="0"/>
      <w:autoSpaceDE w:val="0"/>
      <w:autoSpaceDN w:val="0"/>
      <w:adjustRightInd w:val="0"/>
      <w:spacing w:after="180" w:line="240" w:lineRule="auto"/>
      <w:ind w:left="1440" w:hanging="360"/>
      <w:contextualSpacing/>
    </w:pPr>
    <w:rPr>
      <w:rFonts w:ascii="Times New Roman" w:eastAsia="宋体" w:hAnsi="Times New Roman" w:cs="Times New Roman"/>
      <w:sz w:val="20"/>
      <w:szCs w:val="20"/>
    </w:rPr>
  </w:style>
  <w:style w:type="character" w:styleId="ad">
    <w:name w:val="annotation reference"/>
    <w:basedOn w:val="a1"/>
    <w:uiPriority w:val="99"/>
    <w:unhideWhenUsed/>
    <w:qFormat/>
    <w:rPr>
      <w:sz w:val="16"/>
      <w:szCs w:val="16"/>
    </w:rPr>
  </w:style>
  <w:style w:type="paragraph" w:styleId="ae">
    <w:name w:val="annotation text"/>
    <w:basedOn w:val="a"/>
    <w:link w:val="af"/>
    <w:unhideWhenUsed/>
    <w:qFormat/>
    <w:pPr>
      <w:overflowPunct w:val="0"/>
      <w:autoSpaceDE w:val="0"/>
      <w:autoSpaceDN w:val="0"/>
      <w:adjustRightInd w:val="0"/>
      <w:spacing w:after="180" w:line="240" w:lineRule="auto"/>
    </w:pPr>
    <w:rPr>
      <w:rFonts w:ascii="Times New Roman" w:eastAsia="宋体" w:hAnsi="Times New Roman" w:cs="Times New Roman"/>
      <w:sz w:val="20"/>
      <w:szCs w:val="20"/>
    </w:rPr>
  </w:style>
  <w:style w:type="character" w:customStyle="1" w:styleId="af">
    <w:name w:val="批注文字 字符"/>
    <w:basedOn w:val="a1"/>
    <w:link w:val="ae"/>
    <w:qFormat/>
    <w:rPr>
      <w:rFonts w:ascii="Times New Roman" w:eastAsia="宋体" w:hAnsi="Times New Roman" w:cs="Times New Roman"/>
      <w:sz w:val="20"/>
      <w:szCs w:val="20"/>
    </w:rPr>
  </w:style>
  <w:style w:type="paragraph" w:styleId="af0">
    <w:name w:val="annotation subject"/>
    <w:basedOn w:val="ae"/>
    <w:next w:val="ae"/>
    <w:link w:val="af1"/>
    <w:uiPriority w:val="99"/>
    <w:semiHidden/>
    <w:unhideWhenUsed/>
    <w:rPr>
      <w:b/>
      <w:bCs/>
    </w:rPr>
  </w:style>
  <w:style w:type="character" w:customStyle="1" w:styleId="af1">
    <w:name w:val="批注主题 字符"/>
    <w:basedOn w:val="af"/>
    <w:link w:val="af0"/>
    <w:uiPriority w:val="99"/>
    <w:semiHidden/>
    <w:rPr>
      <w:rFonts w:ascii="Times New Roman" w:eastAsia="宋体" w:hAnsi="Times New Roman" w:cs="Times New Roman"/>
      <w:b/>
      <w:bCs/>
      <w:sz w:val="20"/>
      <w:szCs w:val="20"/>
    </w:rPr>
  </w:style>
  <w:style w:type="paragraph" w:styleId="af2">
    <w:name w:val="footer"/>
    <w:basedOn w:val="a"/>
    <w:link w:val="af3"/>
    <w:uiPriority w:val="99"/>
    <w:unhideWhenUsed/>
    <w:pPr>
      <w:tabs>
        <w:tab w:val="center" w:pos="4153"/>
        <w:tab w:val="right" w:pos="8306"/>
      </w:tabs>
      <w:overflowPunct w:val="0"/>
      <w:autoSpaceDE w:val="0"/>
      <w:autoSpaceDN w:val="0"/>
      <w:adjustRightInd w:val="0"/>
      <w:snapToGrid w:val="0"/>
      <w:spacing w:after="180" w:line="240" w:lineRule="auto"/>
    </w:pPr>
    <w:rPr>
      <w:rFonts w:ascii="Times New Roman" w:eastAsia="宋体" w:hAnsi="Times New Roman" w:cs="Times New Roman"/>
      <w:sz w:val="18"/>
      <w:szCs w:val="18"/>
    </w:rPr>
  </w:style>
  <w:style w:type="character" w:customStyle="1" w:styleId="af3">
    <w:name w:val="页脚 字符"/>
    <w:basedOn w:val="a1"/>
    <w:link w:val="af2"/>
    <w:uiPriority w:val="99"/>
    <w:rPr>
      <w:rFonts w:ascii="Times New Roman" w:eastAsia="宋体" w:hAnsi="Times New Roman" w:cs="Times New Roman"/>
      <w:sz w:val="18"/>
      <w:szCs w:val="18"/>
    </w:rPr>
  </w:style>
  <w:style w:type="character" w:customStyle="1" w:styleId="aa">
    <w:name w:val="列出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1"/>
    <w:link w:val="a9"/>
    <w:uiPriority w:val="34"/>
    <w:qFormat/>
    <w:locked/>
    <w:rPr>
      <w:rFonts w:ascii="Times New Roman" w:eastAsia="宋体" w:hAnsi="Times New Roman" w:cs="Times New Roman"/>
      <w:sz w:val="20"/>
      <w:szCs w:val="20"/>
    </w:rPr>
  </w:style>
  <w:style w:type="character" w:styleId="af4">
    <w:name w:val="Strong"/>
    <w:basedOn w:val="a1"/>
    <w:uiPriority w:val="22"/>
    <w:qFormat/>
    <w:rPr>
      <w:b/>
      <w:bCs/>
    </w:rPr>
  </w:style>
  <w:style w:type="character" w:styleId="af5">
    <w:name w:val="FollowedHyperlink"/>
    <w:basedOn w:val="a1"/>
    <w:uiPriority w:val="99"/>
    <w:semiHidden/>
    <w:unhideWhenUsed/>
    <w:rPr>
      <w:color w:val="954F72" w:themeColor="followedHyperlink"/>
      <w:u w:val="single"/>
    </w:rPr>
  </w:style>
  <w:style w:type="paragraph" w:styleId="af6">
    <w:name w:val="caption"/>
    <w:basedOn w:val="a"/>
    <w:next w:val="a"/>
    <w:link w:val="af7"/>
    <w:unhideWhenUsed/>
    <w:qFormat/>
    <w:pPr>
      <w:overflowPunct w:val="0"/>
      <w:autoSpaceDE w:val="0"/>
      <w:autoSpaceDN w:val="0"/>
      <w:adjustRightInd w:val="0"/>
      <w:spacing w:after="200" w:line="240" w:lineRule="auto"/>
    </w:pPr>
    <w:rPr>
      <w:rFonts w:ascii="Times New Roman" w:eastAsia="宋体" w:hAnsi="Times New Roman" w:cs="Times New Roman"/>
      <w:i/>
      <w:iCs/>
      <w:color w:val="44546A" w:themeColor="text2"/>
      <w:sz w:val="18"/>
      <w:szCs w:val="18"/>
    </w:rPr>
  </w:style>
  <w:style w:type="paragraph" w:customStyle="1" w:styleId="NO">
    <w:name w:val="N_O"/>
    <w:basedOn w:val="a"/>
    <w:next w:val="a"/>
    <w:link w:val="NOChar"/>
    <w:qFormat/>
    <w:pPr>
      <w:numPr>
        <w:numId w:val="9"/>
      </w:numPr>
      <w:ind w:left="360"/>
    </w:pPr>
    <w:rPr>
      <w:b/>
      <w:bCs/>
    </w:rPr>
  </w:style>
  <w:style w:type="paragraph" w:customStyle="1" w:styleId="NP">
    <w:name w:val="N_P"/>
    <w:basedOn w:val="NO"/>
    <w:next w:val="a"/>
    <w:link w:val="NPChar"/>
    <w:qFormat/>
    <w:pPr>
      <w:numPr>
        <w:numId w:val="10"/>
      </w:numPr>
    </w:pPr>
  </w:style>
  <w:style w:type="character" w:customStyle="1" w:styleId="NOChar">
    <w:name w:val="N_O Char"/>
    <w:basedOn w:val="a1"/>
    <w:link w:val="NO"/>
    <w:rPr>
      <w:b/>
      <w:bCs/>
      <w:lang w:val="en-GB"/>
    </w:rPr>
  </w:style>
  <w:style w:type="character" w:customStyle="1" w:styleId="NPChar">
    <w:name w:val="N_P Char"/>
    <w:basedOn w:val="NOChar"/>
    <w:link w:val="NP"/>
    <w:rPr>
      <w:b/>
      <w:bCs/>
      <w:lang w:val="en-GB"/>
    </w:rPr>
  </w:style>
  <w:style w:type="paragraph" w:styleId="af8">
    <w:name w:val="Revision"/>
    <w:hidden/>
    <w:uiPriority w:val="99"/>
    <w:semiHidden/>
    <w:pPr>
      <w:spacing w:after="0" w:line="240" w:lineRule="auto"/>
    </w:pPr>
    <w:rPr>
      <w:rFonts w:ascii="Times New Roman" w:eastAsia="宋体" w:hAnsi="Times New Roman" w:cs="Times New Roman"/>
      <w:sz w:val="20"/>
      <w:szCs w:val="20"/>
    </w:rPr>
  </w:style>
  <w:style w:type="character" w:customStyle="1" w:styleId="B1Char">
    <w:name w:val="B1 Char"/>
    <w:link w:val="B1"/>
    <w:qFormat/>
    <w:locked/>
    <w:rPr>
      <w:lang w:val="x-none"/>
    </w:rPr>
  </w:style>
  <w:style w:type="paragraph" w:customStyle="1" w:styleId="B1">
    <w:name w:val="B1"/>
    <w:basedOn w:val="a"/>
    <w:link w:val="B1Char"/>
    <w:qFormat/>
    <w:pPr>
      <w:spacing w:after="180" w:line="240" w:lineRule="auto"/>
      <w:ind w:left="568" w:hanging="284"/>
    </w:pPr>
    <w:rPr>
      <w:lang w:val="x-none"/>
    </w:rPr>
  </w:style>
  <w:style w:type="paragraph" w:customStyle="1" w:styleId="Obs-prop">
    <w:name w:val="Obs-prop"/>
    <w:basedOn w:val="a"/>
    <w:next w:val="a"/>
    <w:qFormat/>
    <w:rPr>
      <w:b/>
      <w:bCs/>
    </w:rPr>
  </w:style>
  <w:style w:type="paragraph" w:customStyle="1" w:styleId="paragraph">
    <w:name w:val="paragraph"/>
    <w:basedOn w:val="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a1"/>
  </w:style>
  <w:style w:type="paragraph" w:styleId="af9">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a1"/>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af7">
    <w:name w:val="题注 字符"/>
    <w:link w:val="af6"/>
    <w:qFormat/>
    <w:rPr>
      <w:rFonts w:ascii="Times New Roman" w:eastAsia="宋体"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eastAsia="宋体" w:hAnsi="Times New Roman" w:cs="Times New Roman"/>
      <w:szCs w:val="20"/>
      <w:lang w:eastAsia="zh-CN"/>
    </w:rPr>
  </w:style>
  <w:style w:type="paragraph" w:customStyle="1" w:styleId="CharChar1CharCharCharCharCharChar">
    <w:name w:val="Char Char1 Char Char Char Char Char Char"/>
    <w:semiHidden/>
    <w:pPr>
      <w:keepNext/>
      <w:numPr>
        <w:numId w:val="11"/>
      </w:numPr>
      <w:autoSpaceDE w:val="0"/>
      <w:autoSpaceDN w:val="0"/>
      <w:adjustRightInd w:val="0"/>
      <w:spacing w:before="60" w:after="60" w:line="240" w:lineRule="auto"/>
      <w:jc w:val="both"/>
    </w:pPr>
    <w:rPr>
      <w:rFonts w:ascii="Arial" w:eastAsia="宋体" w:hAnsi="Arial" w:cs="Arial"/>
      <w:color w:val="0000FF"/>
      <w:kern w:val="2"/>
      <w:szCs w:val="20"/>
      <w:lang w:eastAsia="zh-CN"/>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rPr>
      <w:sz w:val="22"/>
    </w:rPr>
  </w:style>
  <w:style w:type="paragraph" w:styleId="afa">
    <w:name w:val="Title"/>
    <w:aliases w:val="标题2"/>
    <w:basedOn w:val="2"/>
    <w:link w:val="afb"/>
    <w:qFormat/>
    <w:pPr>
      <w:widowControl/>
      <w:numPr>
        <w:ilvl w:val="0"/>
        <w:numId w:val="0"/>
      </w:numPr>
      <w:spacing w:after="120"/>
      <w:textAlignment w:val="baseline"/>
    </w:pPr>
    <w:rPr>
      <w:rFonts w:eastAsia="MS Mincho"/>
      <w:b/>
      <w:noProof w:val="0"/>
      <w:sz w:val="24"/>
      <w:lang w:val="de-DE" w:eastAsia="en-US"/>
    </w:rPr>
  </w:style>
  <w:style w:type="character" w:customStyle="1" w:styleId="afb">
    <w:name w:val="标题 字符"/>
    <w:aliases w:val="标题2 字符"/>
    <w:basedOn w:val="a1"/>
    <w:link w:val="afa"/>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12"/>
      </w:numPr>
      <w:tabs>
        <w:tab w:val="left" w:pos="1701"/>
      </w:tabs>
      <w:spacing w:after="120"/>
      <w:ind w:left="0" w:firstLine="0"/>
      <w:textAlignment w:val="baseline"/>
    </w:pPr>
    <w:rPr>
      <w:rFonts w:ascii="Arial" w:hAnsi="Arial"/>
      <w:b/>
      <w:bCs/>
      <w:lang w:eastAsia="zh-CN"/>
    </w:rPr>
  </w:style>
  <w:style w:type="character" w:customStyle="1" w:styleId="ObservationChar">
    <w:name w:val="Observation Char"/>
    <w:link w:val="Observation"/>
    <w:rPr>
      <w:rFonts w:ascii="Arial" w:eastAsia="宋体" w:hAnsi="Arial" w:cs="Times New Roman"/>
      <w:b/>
      <w:bCs/>
      <w:sz w:val="20"/>
      <w:szCs w:val="20"/>
      <w:lang w:val="en-GB" w:eastAsia="zh-CN"/>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1"/>
    <w:link w:val="B3Char2"/>
    <w:qFormat/>
    <w:pPr>
      <w:ind w:left="1135" w:hanging="284"/>
      <w:contextualSpacing w:val="0"/>
      <w:textAlignment w:val="baseline"/>
    </w:pPr>
    <w:rPr>
      <w:rFonts w:eastAsia="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1"/>
    <w:link w:val="B4Char"/>
    <w:qFormat/>
    <w:pPr>
      <w:ind w:left="1418" w:hanging="284"/>
      <w:contextualSpacing w:val="0"/>
      <w:textAlignment w:val="baseline"/>
    </w:pPr>
    <w:rPr>
      <w:rFonts w:eastAsia="Times New Roman"/>
      <w:lang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styleId="31">
    <w:name w:val="List 3"/>
    <w:basedOn w:val="a"/>
    <w:uiPriority w:val="99"/>
    <w:semiHidden/>
    <w:unhideWhenUsed/>
    <w:pPr>
      <w:overflowPunct w:val="0"/>
      <w:autoSpaceDE w:val="0"/>
      <w:autoSpaceDN w:val="0"/>
      <w:adjustRightInd w:val="0"/>
      <w:spacing w:after="180" w:line="240" w:lineRule="auto"/>
      <w:ind w:left="1080" w:hanging="360"/>
      <w:contextualSpacing/>
    </w:pPr>
    <w:rPr>
      <w:rFonts w:ascii="Times New Roman" w:eastAsia="宋体" w:hAnsi="Times New Roman" w:cs="Times New Roman"/>
      <w:sz w:val="20"/>
      <w:szCs w:val="20"/>
    </w:rPr>
  </w:style>
  <w:style w:type="character" w:customStyle="1" w:styleId="EmailDiscussionChar">
    <w:name w:val="EmailDiscussion Char"/>
    <w:link w:val="EmailDiscussion"/>
    <w:locked/>
    <w:rPr>
      <w:rFonts w:ascii="Arial" w:eastAsia="MS Mincho" w:hAnsi="Arial" w:cs="Arial"/>
      <w:b/>
      <w:szCs w:val="24"/>
      <w:lang w:val="en-GB" w:eastAsia="en-GB"/>
    </w:rPr>
  </w:style>
  <w:style w:type="paragraph" w:customStyle="1" w:styleId="EmailDiscussion">
    <w:name w:val="EmailDiscussion"/>
    <w:basedOn w:val="a"/>
    <w:next w:val="a"/>
    <w:link w:val="EmailDiscussionChar"/>
    <w:qFormat/>
    <w:pPr>
      <w:numPr>
        <w:numId w:val="25"/>
      </w:numPr>
      <w:spacing w:before="40" w:after="0" w:line="240" w:lineRule="auto"/>
    </w:pPr>
    <w:rPr>
      <w:rFonts w:ascii="Arial" w:eastAsia="MS Mincho" w:hAnsi="Arial" w:cs="Arial"/>
      <w:b/>
      <w:szCs w:val="24"/>
      <w:lang w:eastAsia="en-GB"/>
    </w:rPr>
  </w:style>
  <w:style w:type="paragraph" w:customStyle="1" w:styleId="EmailDiscussion2">
    <w:name w:val="EmailDiscussion2"/>
    <w:basedOn w:val="a"/>
    <w:uiPriority w:val="99"/>
    <w:qFormat/>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apple-converted-space">
    <w:name w:val="apple-converted-space"/>
    <w:basedOn w:val="a1"/>
  </w:style>
  <w:style w:type="character" w:customStyle="1" w:styleId="UnresolvedMention1">
    <w:name w:val="Unresolved Mention1"/>
    <w:basedOn w:val="a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422909">
      <w:bodyDiv w:val="1"/>
      <w:marLeft w:val="0"/>
      <w:marRight w:val="0"/>
      <w:marTop w:val="0"/>
      <w:marBottom w:val="0"/>
      <w:divBdr>
        <w:top w:val="none" w:sz="0" w:space="0" w:color="auto"/>
        <w:left w:val="none" w:sz="0" w:space="0" w:color="auto"/>
        <w:bottom w:val="none" w:sz="0" w:space="0" w:color="auto"/>
        <w:right w:val="none" w:sz="0" w:space="0" w:color="auto"/>
      </w:divBdr>
    </w:div>
    <w:div w:id="653149183">
      <w:bodyDiv w:val="1"/>
      <w:marLeft w:val="0"/>
      <w:marRight w:val="0"/>
      <w:marTop w:val="0"/>
      <w:marBottom w:val="0"/>
      <w:divBdr>
        <w:top w:val="none" w:sz="0" w:space="0" w:color="auto"/>
        <w:left w:val="none" w:sz="0" w:space="0" w:color="auto"/>
        <w:bottom w:val="none" w:sz="0" w:space="0" w:color="auto"/>
        <w:right w:val="none" w:sz="0" w:space="0" w:color="auto"/>
      </w:divBdr>
    </w:div>
    <w:div w:id="688945485">
      <w:bodyDiv w:val="1"/>
      <w:marLeft w:val="0"/>
      <w:marRight w:val="0"/>
      <w:marTop w:val="0"/>
      <w:marBottom w:val="0"/>
      <w:divBdr>
        <w:top w:val="none" w:sz="0" w:space="0" w:color="auto"/>
        <w:left w:val="none" w:sz="0" w:space="0" w:color="auto"/>
        <w:bottom w:val="none" w:sz="0" w:space="0" w:color="auto"/>
        <w:right w:val="none" w:sz="0" w:space="0" w:color="auto"/>
      </w:divBdr>
    </w:div>
    <w:div w:id="727413391">
      <w:bodyDiv w:val="1"/>
      <w:marLeft w:val="0"/>
      <w:marRight w:val="0"/>
      <w:marTop w:val="0"/>
      <w:marBottom w:val="0"/>
      <w:divBdr>
        <w:top w:val="none" w:sz="0" w:space="0" w:color="auto"/>
        <w:left w:val="none" w:sz="0" w:space="0" w:color="auto"/>
        <w:bottom w:val="none" w:sz="0" w:space="0" w:color="auto"/>
        <w:right w:val="none" w:sz="0" w:space="0" w:color="auto"/>
      </w:divBdr>
    </w:div>
    <w:div w:id="804859789">
      <w:bodyDiv w:val="1"/>
      <w:marLeft w:val="0"/>
      <w:marRight w:val="0"/>
      <w:marTop w:val="0"/>
      <w:marBottom w:val="0"/>
      <w:divBdr>
        <w:top w:val="none" w:sz="0" w:space="0" w:color="auto"/>
        <w:left w:val="none" w:sz="0" w:space="0" w:color="auto"/>
        <w:bottom w:val="none" w:sz="0" w:space="0" w:color="auto"/>
        <w:right w:val="none" w:sz="0" w:space="0" w:color="auto"/>
      </w:divBdr>
    </w:div>
    <w:div w:id="982350965">
      <w:bodyDiv w:val="1"/>
      <w:marLeft w:val="0"/>
      <w:marRight w:val="0"/>
      <w:marTop w:val="0"/>
      <w:marBottom w:val="0"/>
      <w:divBdr>
        <w:top w:val="none" w:sz="0" w:space="0" w:color="auto"/>
        <w:left w:val="none" w:sz="0" w:space="0" w:color="auto"/>
        <w:bottom w:val="none" w:sz="0" w:space="0" w:color="auto"/>
        <w:right w:val="none" w:sz="0" w:space="0" w:color="auto"/>
      </w:divBdr>
    </w:div>
    <w:div w:id="1088188792">
      <w:bodyDiv w:val="1"/>
      <w:marLeft w:val="0"/>
      <w:marRight w:val="0"/>
      <w:marTop w:val="0"/>
      <w:marBottom w:val="0"/>
      <w:divBdr>
        <w:top w:val="none" w:sz="0" w:space="0" w:color="auto"/>
        <w:left w:val="none" w:sz="0" w:space="0" w:color="auto"/>
        <w:bottom w:val="none" w:sz="0" w:space="0" w:color="auto"/>
        <w:right w:val="none" w:sz="0" w:space="0" w:color="auto"/>
      </w:divBdr>
    </w:div>
    <w:div w:id="1107429741">
      <w:bodyDiv w:val="1"/>
      <w:marLeft w:val="0"/>
      <w:marRight w:val="0"/>
      <w:marTop w:val="0"/>
      <w:marBottom w:val="0"/>
      <w:divBdr>
        <w:top w:val="none" w:sz="0" w:space="0" w:color="auto"/>
        <w:left w:val="none" w:sz="0" w:space="0" w:color="auto"/>
        <w:bottom w:val="none" w:sz="0" w:space="0" w:color="auto"/>
        <w:right w:val="none" w:sz="0" w:space="0" w:color="auto"/>
      </w:divBdr>
    </w:div>
    <w:div w:id="1471095827">
      <w:bodyDiv w:val="1"/>
      <w:marLeft w:val="0"/>
      <w:marRight w:val="0"/>
      <w:marTop w:val="0"/>
      <w:marBottom w:val="0"/>
      <w:divBdr>
        <w:top w:val="none" w:sz="0" w:space="0" w:color="auto"/>
        <w:left w:val="none" w:sz="0" w:space="0" w:color="auto"/>
        <w:bottom w:val="none" w:sz="0" w:space="0" w:color="auto"/>
        <w:right w:val="none" w:sz="0" w:space="0" w:color="auto"/>
      </w:divBdr>
    </w:div>
    <w:div w:id="1476676748">
      <w:bodyDiv w:val="1"/>
      <w:marLeft w:val="0"/>
      <w:marRight w:val="0"/>
      <w:marTop w:val="0"/>
      <w:marBottom w:val="0"/>
      <w:divBdr>
        <w:top w:val="none" w:sz="0" w:space="0" w:color="auto"/>
        <w:left w:val="none" w:sz="0" w:space="0" w:color="auto"/>
        <w:bottom w:val="none" w:sz="0" w:space="0" w:color="auto"/>
        <w:right w:val="none" w:sz="0" w:space="0" w:color="auto"/>
      </w:divBdr>
    </w:div>
    <w:div w:id="1692536329">
      <w:bodyDiv w:val="1"/>
      <w:marLeft w:val="0"/>
      <w:marRight w:val="0"/>
      <w:marTop w:val="0"/>
      <w:marBottom w:val="0"/>
      <w:divBdr>
        <w:top w:val="none" w:sz="0" w:space="0" w:color="auto"/>
        <w:left w:val="none" w:sz="0" w:space="0" w:color="auto"/>
        <w:bottom w:val="none" w:sz="0" w:space="0" w:color="auto"/>
        <w:right w:val="none" w:sz="0" w:space="0" w:color="auto"/>
      </w:divBdr>
    </w:div>
    <w:div w:id="1735347075">
      <w:bodyDiv w:val="1"/>
      <w:marLeft w:val="0"/>
      <w:marRight w:val="0"/>
      <w:marTop w:val="0"/>
      <w:marBottom w:val="0"/>
      <w:divBdr>
        <w:top w:val="none" w:sz="0" w:space="0" w:color="auto"/>
        <w:left w:val="none" w:sz="0" w:space="0" w:color="auto"/>
        <w:bottom w:val="none" w:sz="0" w:space="0" w:color="auto"/>
        <w:right w:val="none" w:sz="0" w:space="0" w:color="auto"/>
      </w:divBdr>
    </w:div>
    <w:div w:id="1917089565">
      <w:bodyDiv w:val="1"/>
      <w:marLeft w:val="0"/>
      <w:marRight w:val="0"/>
      <w:marTop w:val="0"/>
      <w:marBottom w:val="0"/>
      <w:divBdr>
        <w:top w:val="none" w:sz="0" w:space="0" w:color="auto"/>
        <w:left w:val="none" w:sz="0" w:space="0" w:color="auto"/>
        <w:bottom w:val="none" w:sz="0" w:space="0" w:color="auto"/>
        <w:right w:val="none" w:sz="0" w:space="0" w:color="auto"/>
      </w:divBdr>
    </w:div>
    <w:div w:id="192637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image" Target="media/image4.emf"/><Relationship Id="rId26" Type="http://schemas.openxmlformats.org/officeDocument/2006/relationships/image" Target="media/image8.emf"/><Relationship Id="rId39" Type="http://schemas.openxmlformats.org/officeDocument/2006/relationships/theme" Target="theme/theme1.xml"/><Relationship Id="rId21" Type="http://schemas.openxmlformats.org/officeDocument/2006/relationships/package" Target="embeddings/Microsoft_Visio_Drawing2.vsdx"/><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package" Target="embeddings/Microsoft_Visio_Drawing.vsdx"/><Relationship Id="rId25" Type="http://schemas.openxmlformats.org/officeDocument/2006/relationships/package" Target="embeddings/Microsoft_Visio_Drawing4.vsdx"/><Relationship Id="rId33" Type="http://schemas.openxmlformats.org/officeDocument/2006/relationships/footer" Target="footer1.xm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package" Target="embeddings/Microsoft_Visio_Drawing5.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7.emf"/><Relationship Id="rId32" Type="http://schemas.openxmlformats.org/officeDocument/2006/relationships/header" Target="header2.xml"/><Relationship Id="rId37" Type="http://schemas.openxmlformats.org/officeDocument/2006/relationships/fontTable" Target="fontTable.xml"/><Relationship Id="rId40"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package" Target="embeddings/Microsoft_Visio_Drawing3.vsdx"/><Relationship Id="rId28" Type="http://schemas.openxmlformats.org/officeDocument/2006/relationships/image" Target="media/image9.emf"/><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package" Target="embeddings/Microsoft_Visio_Drawing1.vsdx"/><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image" Target="media/image6.emf"/><Relationship Id="rId27" Type="http://schemas.openxmlformats.org/officeDocument/2006/relationships/oleObject" Target="embeddings/oleObject2.bin"/><Relationship Id="rId30" Type="http://schemas.openxmlformats.org/officeDocument/2006/relationships/hyperlink" Target="mailto:ohta.yoshiaki@fujitsu.com" TargetMode="External"/><Relationship Id="rId35"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941FB82851E3429136678A293A9673" ma:contentTypeVersion="0" ma:contentTypeDescription="Create a new document." ma:contentTypeScope="" ma:versionID="e7ca65875dbee6b1e4871712f4d9b39d">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3.xml><?xml version="1.0" encoding="utf-8"?>
<ds:datastoreItem xmlns:ds="http://schemas.openxmlformats.org/officeDocument/2006/customXml" ds:itemID="{4E3D80E2-DED7-4F55-B807-A4743CC7DD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FE2EA80-9566-4F62-9650-4815220B0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55</Pages>
  <Words>23187</Words>
  <Characters>132166</Characters>
  <Application>Microsoft Office Word</Application>
  <DocSecurity>0</DocSecurity>
  <Lines>1101</Lines>
  <Paragraphs>310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Marta-r4</dc:creator>
  <cp:lastModifiedBy>NEC (Wangda)</cp:lastModifiedBy>
  <cp:revision>59</cp:revision>
  <dcterms:created xsi:type="dcterms:W3CDTF">2021-07-20T03:39:00Z</dcterms:created>
  <dcterms:modified xsi:type="dcterms:W3CDTF">2021-07-21T01:46:00Z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0x010100FF941FB82851E3429136678A293A9673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1624864735</vt:lpwstr>
  </property>
  <property fmtid="{D5CDD505-2E9C-101B-9397-08002B2CF9AE}" pid="7" name="MSIP_Label_a7295cc1-d279-42ac-ab4d-3b0f4fece050_Enabled">
    <vt:lpwstr>true</vt:lpwstr>
  </property>
  <property fmtid="{D5CDD505-2E9C-101B-9397-08002B2CF9AE}" pid="8" name="MSIP_Label_a7295cc1-d279-42ac-ab4d-3b0f4fece050_SetDate">
    <vt:lpwstr>2021-07-20T01:11:31Z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16b799ca-ab6e-479a-a793-b9f6dcfebca7</vt:lpwstr>
  </property>
  <property fmtid="{D5CDD505-2E9C-101B-9397-08002B2CF9AE}" pid="13" name="MSIP_Label_a7295cc1-d279-42ac-ab4d-3b0f4fece050_ContentBits">
    <vt:lpwstr>0</vt:lpwstr>
  </property>
</Properties>
</file>