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4C76" w14:textId="3DABF472" w:rsidR="009F3AA4" w:rsidRDefault="003B468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w:t>
      </w:r>
      <w:r w:rsidR="002B1361">
        <w:rPr>
          <w:rFonts w:eastAsia="宋体" w:cs="Arial"/>
          <w:b/>
          <w:sz w:val="28"/>
          <w:szCs w:val="28"/>
          <w:lang w:eastAsia="en-US"/>
        </w:rPr>
        <w:t>5</w:t>
      </w:r>
      <w:r>
        <w:rPr>
          <w:rFonts w:eastAsia="宋体" w:cs="Arial"/>
          <w:b/>
          <w:sz w:val="28"/>
          <w:szCs w:val="28"/>
          <w:lang w:eastAsia="en-US"/>
        </w:rPr>
        <w:t>-e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2B1361" w:rsidRPr="002B1361">
        <w:rPr>
          <w:rFonts w:eastAsia="宋体"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83"/>
        <w:gridCol w:w="14584"/>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宋体"/>
                <w:lang w:eastAsia="zh-CN"/>
              </w:rPr>
            </w:pPr>
            <w:r>
              <w:lastRenderedPageBreak/>
              <w:t xml:space="preserve">We have modified the figure as below to capture point 3 and 4 above. </w:t>
            </w:r>
          </w:p>
          <w:p w14:paraId="20B565FF" w14:textId="194C49E9" w:rsidR="008324FD" w:rsidRDefault="00613B7B" w:rsidP="009628FE">
            <w:r>
              <w:rPr>
                <w:noProof/>
              </w:rP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5.25pt;height:266.45pt;mso-width-percent:0;mso-height-percent:0;mso-width-percent:0;mso-height-percent:0" o:ole="">
                  <v:imagedata r:id="rId13" o:title=""/>
                </v:shape>
                <o:OLEObject Type="Embed" ProgID="Visio.Drawing.11" ShapeID="_x0000_i1025" DrawAspect="Content" ObjectID="_1689434217"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613B7B" w:rsidP="00D86976">
            <w:r>
              <w:rPr>
                <w:noProof/>
              </w:rPr>
              <w:object w:dxaOrig="12340" w:dyaOrig="5990" w14:anchorId="54C919B4">
                <v:shape id="_x0000_i1026" type="#_x0000_t75" alt="" style="width:544pt;height:263.4pt;mso-width-percent:0;mso-height-percent:0;mso-width-percent:0;mso-height-percent:0" o:ole="">
                  <v:imagedata r:id="rId15" o:title=""/>
                </v:shape>
                <o:OLEObject Type="Embed" ProgID="Visio.Drawing.11" ShapeID="_x0000_i1026" DrawAspect="Content" ObjectID="_1689434218" r:id="rId16"/>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 xml:space="preserve">We have some sympathy for comments that all the checks can be performed in one layer (i.e. kept in one spec). However, we don’t have strong view on this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RRCResume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all these modeling</w:t>
            </w:r>
            <w:r w:rsidR="00D94EA9">
              <w:rPr>
                <w:rFonts w:eastAsiaTheme="minorEastAsia" w:hint="eastAsia"/>
                <w:lang w:eastAsia="zh-CN"/>
              </w:rPr>
              <w:t>s</w:t>
            </w:r>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613B7B" w:rsidP="000B46DD">
            <w:pPr>
              <w:rPr>
                <w:rFonts w:eastAsiaTheme="minorEastAsia"/>
                <w:lang w:eastAsia="zh-CN"/>
              </w:rPr>
            </w:pPr>
            <w:r>
              <w:rPr>
                <w:noProof/>
              </w:rPr>
              <w:object w:dxaOrig="13395" w:dyaOrig="9075" w14:anchorId="51C08350">
                <v:shape id="_x0000_i1027" type="#_x0000_t75" alt="" style="width:415.4pt;height:281.25pt;mso-width-percent:0;mso-height-percent:0;mso-width-percent:0;mso-height-percent:0" o:ole="">
                  <v:imagedata r:id="rId17" o:title=""/>
                </v:shape>
                <o:OLEObject Type="Embed" ProgID="Visio.Drawing.15" ShapeID="_x0000_i1027" DrawAspect="Content" ObjectID="_1689434219" r:id="rId18"/>
              </w:object>
            </w:r>
          </w:p>
        </w:tc>
      </w:tr>
      <w:tr w:rsidR="00562E94" w14:paraId="6C706924" w14:textId="77777777" w:rsidTr="008324FD">
        <w:tc>
          <w:tcPr>
            <w:tcW w:w="1271" w:type="dxa"/>
          </w:tcPr>
          <w:p w14:paraId="4659EAC3" w14:textId="61731B2D" w:rsidR="00562E94" w:rsidRDefault="00562E94" w:rsidP="00D86976">
            <w:r>
              <w:t>Nokia</w:t>
            </w:r>
          </w:p>
        </w:tc>
        <w:tc>
          <w:tcPr>
            <w:tcW w:w="14596" w:type="dxa"/>
          </w:tcPr>
          <w:p w14:paraId="13F58569" w14:textId="26F931EB" w:rsidR="00905C9C"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r w:rsidR="009D7C9F">
              <w:rPr>
                <w:rStyle w:val="normaltextrun"/>
              </w:rPr>
              <w:t>e.g.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lastRenderedPageBreak/>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r w:rsidR="00FD321D">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02901488" w14:textId="32D7E96D" w:rsidR="007368CA" w:rsidRPr="004E480C" w:rsidRDefault="004E480C" w:rsidP="00864BF5">
            <w:pPr>
              <w:pStyle w:val="paragraph"/>
              <w:spacing w:before="0" w:beforeAutospacing="0" w:after="0" w:afterAutospacing="0"/>
              <w:textAlignment w:val="baseline"/>
            </w:pPr>
            <w:r>
              <w:rPr>
                <w:rStyle w:val="normaltextrun"/>
              </w:rPr>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tc>
      </w:tr>
      <w:tr w:rsidR="00963843" w14:paraId="1D6402AF" w14:textId="77777777" w:rsidTr="008324FD">
        <w:tc>
          <w:tcPr>
            <w:tcW w:w="1271" w:type="dxa"/>
          </w:tcPr>
          <w:p w14:paraId="4CF03B9B" w14:textId="6A44B31D" w:rsidR="00963843" w:rsidRDefault="00963843" w:rsidP="00D86976">
            <w:r>
              <w:lastRenderedPageBreak/>
              <w:t>Huawei, HiSilicon</w:t>
            </w:r>
          </w:p>
        </w:tc>
        <w:tc>
          <w:tcPr>
            <w:tcW w:w="14596" w:type="dxa"/>
          </w:tcPr>
          <w:p w14:paraId="677E36E4" w14:textId="77777777" w:rsidR="00963843" w:rsidRDefault="00963843" w:rsidP="00963843">
            <w:r>
              <w:t>We think the proposed modelling is OK in general, with the following comments:</w:t>
            </w:r>
          </w:p>
          <w:p w14:paraId="700CC728" w14:textId="77777777"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35412CD0" w14:textId="77777777" w:rsidR="00963843" w:rsidRDefault="00963843" w:rsidP="00963843">
            <w:pPr>
              <w:pStyle w:val="ListParagraph"/>
              <w:numPr>
                <w:ilvl w:val="0"/>
                <w:numId w:val="17"/>
              </w:numPr>
            </w:pPr>
            <w:r>
              <w:t>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e.g. do we need to rely on both of them or only a single one (i.e. CG-TAT would be only for initial CG-SDT transmission).</w:t>
            </w:r>
          </w:p>
          <w:p w14:paraId="0DDDF4E9" w14:textId="4F214770" w:rsidR="00963843" w:rsidRDefault="00963843" w:rsidP="00963843">
            <w:pPr>
              <w:pStyle w:val="ListParagraph"/>
              <w:numPr>
                <w:ilvl w:val="0"/>
                <w:numId w:val="17"/>
              </w:numPr>
            </w:pPr>
            <w:r>
              <w:t xml:space="preserve">We agree with some other companies that updates to the modelling figure are needed to capture that it should be RRC layer which initates legacy resume procedure when the SDT conditions are not satisfied. </w:t>
            </w:r>
          </w:p>
          <w:p w14:paraId="372B90EF" w14:textId="471B3A94" w:rsidR="00963843" w:rsidRDefault="00963843" w:rsidP="00963843">
            <w:pPr>
              <w:pStyle w:val="ListParagraph"/>
              <w:numPr>
                <w:ilvl w:val="0"/>
                <w:numId w:val="17"/>
              </w:numPr>
              <w:rPr>
                <w:rStyle w:val="normaltextrun"/>
              </w:rPr>
            </w:pPr>
            <w:r>
              <w:t>When it comes to the data volume calculation, we think it could be simply clarified that MAC receives this information from PDCP layer (or upper layers in general). We would lik</w:t>
            </w:r>
            <w:r w:rsidR="00A64625">
              <w:t>e</w:t>
            </w:r>
            <w:r>
              <w:t xml:space="preserve"> to avoid overspecifying this aspect (e.g. specifying that SDT RBs are resumed up front just for the sake of data volume calculation, without knowing whether SDT is possible or not</w:t>
            </w:r>
            <w:r w:rsidR="00A64625">
              <w:t>, and potentially re-suspended afterwards</w:t>
            </w:r>
            <w:r>
              <w:t>).</w:t>
            </w:r>
          </w:p>
        </w:tc>
      </w:tr>
      <w:tr w:rsidR="00960373" w14:paraId="306F6C60" w14:textId="77777777" w:rsidTr="008324FD">
        <w:tc>
          <w:tcPr>
            <w:tcW w:w="1271" w:type="dxa"/>
          </w:tcPr>
          <w:p w14:paraId="33AF7B57" w14:textId="0FD4AAF4" w:rsidR="00960373" w:rsidRDefault="00960373" w:rsidP="00D86976">
            <w:r>
              <w:t>Qualcomm</w:t>
            </w:r>
          </w:p>
        </w:tc>
        <w:tc>
          <w:tcPr>
            <w:tcW w:w="14596" w:type="dxa"/>
          </w:tcPr>
          <w:p w14:paraId="3E803D9F" w14:textId="1EE7E746" w:rsidR="00960373" w:rsidRDefault="00960373" w:rsidP="000252D8">
            <w:r>
              <w:t xml:space="preserve">We have </w:t>
            </w:r>
            <w:r w:rsidR="00B9608C">
              <w:t xml:space="preserve">the </w:t>
            </w:r>
            <w:r>
              <w:t>following comments.</w:t>
            </w:r>
          </w:p>
          <w:p w14:paraId="1B0424D6" w14:textId="075AF806" w:rsidR="000252D8" w:rsidRPr="00E93AFC" w:rsidRDefault="00B9608C" w:rsidP="000252D8">
            <w:pPr>
              <w:pStyle w:val="ListParagraph"/>
              <w:numPr>
                <w:ilvl w:val="0"/>
                <w:numId w:val="19"/>
              </w:numPr>
            </w:pPr>
            <w:r>
              <w:t>I</w:t>
            </w:r>
            <w:r w:rsidR="00B96FCB">
              <w:t>t is desiable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companies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valume threshold checking, we can follow the RRC spec for LTE EDT if needed, in 5.3.3.1b, </w:t>
            </w:r>
            <w:r w:rsidR="00E264EB">
              <w:t xml:space="preserve">i.e. </w:t>
            </w:r>
            <w:r w:rsidR="00E264EB" w:rsidRPr="00E93AFC">
              <w:rPr>
                <w:i/>
                <w:iCs/>
              </w:rPr>
              <w:t xml:space="preserve">it is up to </w:t>
            </w:r>
            <w:r w:rsidR="00E93AFC" w:rsidRPr="00E93AFC">
              <w:rPr>
                <w:i/>
                <w:iCs/>
              </w:rPr>
              <w:t>UE implementation how the UE determines whether the size of UL data is suitable for EDT.</w:t>
            </w:r>
          </w:p>
          <w:p w14:paraId="6E1B82A2" w14:textId="75ACDA45"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iniates RRC resume prcoedreu if SDT criteria is not met.</w:t>
            </w:r>
          </w:p>
        </w:tc>
      </w:tr>
      <w:tr w:rsidR="00145B41" w14:paraId="76A60B02" w14:textId="77777777" w:rsidTr="008324FD">
        <w:tc>
          <w:tcPr>
            <w:tcW w:w="1271" w:type="dxa"/>
          </w:tcPr>
          <w:p w14:paraId="26B0A7A7" w14:textId="3E5CEB82" w:rsidR="00145B41" w:rsidRDefault="00145B41" w:rsidP="00D86976">
            <w:r>
              <w:t>Ericsson</w:t>
            </w:r>
          </w:p>
        </w:tc>
        <w:tc>
          <w:tcPr>
            <w:tcW w:w="14596" w:type="dxa"/>
          </w:tcPr>
          <w:p w14:paraId="621C66F1" w14:textId="46F75FD4" w:rsidR="00145B41" w:rsidRDefault="00145B41" w:rsidP="000252D8">
            <w:r>
              <w:t>Specified interaction (</w:t>
            </w:r>
            <w:r w:rsidRPr="00CB3E82">
              <w:rPr>
                <w:i/>
                <w:iCs/>
              </w:rPr>
              <w:t>detailed</w:t>
            </w:r>
            <w:r>
              <w:t xml:space="preserve">) between layers should be avoided. Similar to </w:t>
            </w:r>
            <w:r w:rsidR="00CB3E82">
              <w:t>QC, Nokia and other</w:t>
            </w:r>
            <w:r>
              <w:t xml:space="preserve"> companies we think some </w:t>
            </w:r>
            <w:r w:rsidR="00CB3E82">
              <w:t xml:space="preserve">simple </w:t>
            </w:r>
            <w:r>
              <w:t xml:space="preserve">interaction is needed though due to that RRC has the </w:t>
            </w:r>
            <w:r w:rsidR="00CB3E82">
              <w:t xml:space="preserve">responsibility for </w:t>
            </w:r>
            <w:r>
              <w:t>overall configuration, RB resumption and procedure-type initiation</w:t>
            </w:r>
            <w:r w:rsidR="00CB3E82">
              <w:t xml:space="preserve"> (e.g. </w:t>
            </w:r>
            <w:r w:rsidR="00CB3E82">
              <w:rPr>
                <w:rFonts w:eastAsia="宋体" w:cs="Arial"/>
              </w:rPr>
              <w:t xml:space="preserve">RRC </w:t>
            </w:r>
            <w:r w:rsidR="00CB3E82" w:rsidRPr="00B158BB">
              <w:rPr>
                <w:rFonts w:eastAsia="宋体" w:cs="Arial"/>
                <w:bCs/>
              </w:rPr>
              <w:t xml:space="preserve">determines </w:t>
            </w:r>
            <w:r w:rsidR="00CB3E82" w:rsidRPr="00B158BB">
              <w:rPr>
                <w:rFonts w:eastAsia="宋体" w:cs="Arial"/>
                <w:bCs/>
              </w:rPr>
              <w:lastRenderedPageBreak/>
              <w:t>that the pending UL data/NAS message(s) are mapped to SDT RB(s)</w:t>
            </w:r>
            <w:r w:rsidR="00CB3E82">
              <w:rPr>
                <w:rFonts w:eastAsia="宋体" w:cs="Arial"/>
                <w:bCs/>
              </w:rPr>
              <w:t>)</w:t>
            </w:r>
            <w:r w:rsidR="00CB3E82">
              <w:t>; whereas MAC has the immidiate radio resource status knowledge (sync, rsrp, carrier, timers)</w:t>
            </w:r>
            <w:r>
              <w:t>. I.e MAC should evaluate the availability/validity of a SDT resource</w:t>
            </w:r>
            <w:r w:rsidR="00CB3E82">
              <w:t>(s)</w:t>
            </w:r>
            <w:r>
              <w:t xml:space="preserve"> where also a volume estimation can be made (e.g. similar to preamble group selection)</w:t>
            </w:r>
            <w:r w:rsidR="00CB3E82">
              <w:t xml:space="preserve"> and have a “simple” indication to higher layers</w:t>
            </w:r>
            <w:r>
              <w:t>.</w:t>
            </w:r>
          </w:p>
        </w:tc>
      </w:tr>
      <w:tr w:rsidR="006E7D3E" w14:paraId="1490BA2B" w14:textId="77777777" w:rsidTr="008324FD">
        <w:tc>
          <w:tcPr>
            <w:tcW w:w="1271" w:type="dxa"/>
          </w:tcPr>
          <w:p w14:paraId="2FDF8F98" w14:textId="04ED9BA4" w:rsidR="006E7D3E" w:rsidRDefault="006E7D3E" w:rsidP="00D86976">
            <w:r>
              <w:lastRenderedPageBreak/>
              <w:t>Xiaomi</w:t>
            </w:r>
          </w:p>
        </w:tc>
        <w:tc>
          <w:tcPr>
            <w:tcW w:w="14596" w:type="dxa"/>
          </w:tcPr>
          <w:p w14:paraId="2E949123" w14:textId="25686F4B" w:rsidR="006E7D3E" w:rsidRDefault="00A334D8" w:rsidP="000252D8">
            <w:r>
              <w:t>Similar to the views provided by QC and other companies, we also prefer to have one layer (i.e. MAC)  which verifies all the conditions.</w:t>
            </w:r>
            <w:r w:rsidR="00C502D6">
              <w:t xml:space="preserve"> If the verification in MAC fails, the MAC can indicate the failure to the RRC</w:t>
            </w:r>
            <w:r w:rsidR="005F4411">
              <w:t>. Then the RRC can initiate the legacy RRC resume procedure.</w:t>
            </w:r>
            <w:r w:rsidR="008B25FF">
              <w:t xml:space="preserve"> The MAC could also indicate the success indication to the RRC when the verification for the SDT procedure is passed, so as </w:t>
            </w:r>
            <w:r w:rsidR="00CB4DA5">
              <w:t>to allow the RRC layer to resume the SDT DRB.</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414F3C">
        <w:tc>
          <w:tcPr>
            <w:tcW w:w="1271" w:type="dxa"/>
          </w:tcPr>
          <w:p w14:paraId="2815CA74" w14:textId="73D94AC4" w:rsidR="00D053B9" w:rsidRDefault="002B7122" w:rsidP="00D053B9">
            <w:r>
              <w:rPr>
                <w:rFonts w:hint="eastAsia"/>
              </w:rPr>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general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t xml:space="preserve">On the otherhand if the SDT RBs are resumed and if </w:t>
            </w:r>
            <w:r w:rsidR="0095076F">
              <w:t xml:space="preserve">SDT is not eventually chosen then the data from these resumed RBs shall removed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11845DDD" w14:textId="3F8F2315" w:rsidR="001047DC" w:rsidRDefault="001047DC" w:rsidP="00D86976">
            <w:pPr>
              <w:rPr>
                <w:rFonts w:eastAsiaTheme="minorEastAsia"/>
                <w:lang w:eastAsia="zh-CN"/>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Huawei, HiSilicon</w:t>
            </w:r>
          </w:p>
        </w:tc>
        <w:tc>
          <w:tcPr>
            <w:tcW w:w="14596" w:type="dxa"/>
          </w:tcPr>
          <w:p w14:paraId="25FE351F" w14:textId="74E40085" w:rsidR="00EF1D7C" w:rsidRDefault="00EF1D7C" w:rsidP="00EF1D7C">
            <w:pPr>
              <w:rPr>
                <w:rStyle w:val="normaltextrun"/>
                <w:color w:val="000000"/>
              </w:rPr>
            </w:pPr>
            <w:r>
              <w:t xml:space="preserve">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w:t>
            </w:r>
            <w:r>
              <w:lastRenderedPageBreak/>
              <w:t>to decide whether it is MAC which calculates data volume or the data volume is rather calculated at PDPC/RLC layer (as done currently for BSR) and just indicated to MAC layer.</w:t>
            </w:r>
          </w:p>
        </w:tc>
      </w:tr>
      <w:tr w:rsidR="008D62A1" w14:paraId="24D63752" w14:textId="77777777" w:rsidTr="00414F3C">
        <w:tc>
          <w:tcPr>
            <w:tcW w:w="1271" w:type="dxa"/>
          </w:tcPr>
          <w:p w14:paraId="646324DB" w14:textId="4C25004B" w:rsidR="008D62A1" w:rsidRDefault="008D62A1" w:rsidP="00EF1D7C">
            <w:r>
              <w:lastRenderedPageBreak/>
              <w:t>Qualcomm</w:t>
            </w:r>
          </w:p>
        </w:tc>
        <w:tc>
          <w:tcPr>
            <w:tcW w:w="14596" w:type="dxa"/>
          </w:tcPr>
          <w:p w14:paraId="4A89D5A7" w14:textId="0E280753" w:rsidR="008D62A1" w:rsidRDefault="004417C0" w:rsidP="00EF1D7C">
            <w:r>
              <w:t xml:space="preserve">In current MAC spec, </w:t>
            </w:r>
            <w:r w:rsidR="0046370D">
              <w:t xml:space="preserve">MAC eneity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other releavent checks</w:t>
            </w:r>
            <w:r w:rsidR="00A6656C">
              <w:t xml:space="preserve">, i.e.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r w:rsidR="006B008E">
              <w:t xml:space="preserve">i.e. up to UE implmeeation </w:t>
            </w:r>
            <w:r w:rsidR="007B5114">
              <w:t>how UE determine whether the size of UL data is suitable for EDT</w:t>
            </w:r>
            <w:r w:rsidR="00560B0E">
              <w:t>.</w:t>
            </w:r>
          </w:p>
        </w:tc>
      </w:tr>
      <w:tr w:rsidR="00A8626C" w14:paraId="130A3589" w14:textId="77777777" w:rsidTr="00414F3C">
        <w:tc>
          <w:tcPr>
            <w:tcW w:w="1271" w:type="dxa"/>
          </w:tcPr>
          <w:p w14:paraId="4ACAB088" w14:textId="438622A7" w:rsidR="00A8626C" w:rsidRDefault="00A8626C" w:rsidP="00EF1D7C">
            <w:r>
              <w:t>Ericsson</w:t>
            </w:r>
          </w:p>
        </w:tc>
        <w:tc>
          <w:tcPr>
            <w:tcW w:w="14596" w:type="dxa"/>
          </w:tcPr>
          <w:p w14:paraId="5CE33236" w14:textId="521293F8" w:rsidR="00A8626C" w:rsidRDefault="00A8626C" w:rsidP="00EF1D7C">
            <w:r>
              <w:t>We agree a SDT RB is not resumed before verification</w:t>
            </w:r>
            <w:r w:rsidR="00EA68D3">
              <w:t xml:space="preserve">. For the data volume check, details </w:t>
            </w:r>
            <w:r w:rsidR="001A03DF">
              <w:t>should</w:t>
            </w:r>
            <w:r w:rsidR="00EA68D3">
              <w:t xml:space="preserve"> be left to implementation but we would prefer that a simple model is assumed</w:t>
            </w:r>
            <w:r w:rsidR="001A03DF">
              <w:t>,</w:t>
            </w:r>
            <w:r w:rsidR="00EA68D3">
              <w:t xml:space="preserve"> perhaps </w:t>
            </w:r>
            <w:r w:rsidR="00EA68D3" w:rsidRPr="00EA68D3">
              <w:t xml:space="preserve">as with BSRs or preamble group B selection where data volume also seems to be without </w:t>
            </w:r>
            <w:r w:rsidR="00EA68D3">
              <w:t>definitive accuracy of</w:t>
            </w:r>
            <w:r w:rsidR="00EA68D3" w:rsidRPr="00EA68D3">
              <w:t xml:space="preserve"> higher layer</w:t>
            </w:r>
            <w:r w:rsidR="00EA68D3">
              <w:t xml:space="preserve"> headers</w:t>
            </w:r>
            <w:r w:rsidR="001A03DF">
              <w:t xml:space="preserve"> etc</w:t>
            </w:r>
            <w:r w:rsidR="00EA68D3">
              <w:t xml:space="preserve">. </w:t>
            </w:r>
          </w:p>
        </w:tc>
      </w:tr>
      <w:tr w:rsidR="001023C6" w14:paraId="5AD7FEB8" w14:textId="77777777" w:rsidTr="00414F3C">
        <w:tc>
          <w:tcPr>
            <w:tcW w:w="1271" w:type="dxa"/>
          </w:tcPr>
          <w:p w14:paraId="2F11D2D3" w14:textId="04AE332E" w:rsidR="001023C6" w:rsidRDefault="001023C6" w:rsidP="00EF1D7C">
            <w:r>
              <w:t>Xiaomi</w:t>
            </w:r>
          </w:p>
        </w:tc>
        <w:tc>
          <w:tcPr>
            <w:tcW w:w="14596" w:type="dxa"/>
          </w:tcPr>
          <w:p w14:paraId="59D1A5F1" w14:textId="5409665B" w:rsidR="001023C6" w:rsidRDefault="001023C6" w:rsidP="00EF1D7C">
            <w:r>
              <w:t xml:space="preserve">We share the same view with Samsung and NEC that </w:t>
            </w:r>
            <w:r w:rsidR="004200D6">
              <w:t>SDT RBs should be resumed only after all the verifications for SDT are passed.</w:t>
            </w:r>
            <w:bookmarkStart w:id="3" w:name="_GoBack"/>
            <w:bookmarkEnd w:id="3"/>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lastRenderedPageBreak/>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4"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4"/>
      <w:r>
        <w:tab/>
        <w:t>Runnning MAC CR for small data</w:t>
      </w:r>
      <w:r>
        <w:tab/>
        <w:t>Huawei, HiSilicon</w:t>
      </w:r>
    </w:p>
    <w:bookmarkStart w:id="5"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5"/>
      <w:r>
        <w:tab/>
        <w:t>RRC Running CR for SDT</w:t>
      </w:r>
      <w:r>
        <w:tab/>
        <w:t>ZTE Corporation (rapporteur)</w:t>
      </w:r>
    </w:p>
    <w:p w14:paraId="6A052E4C" w14:textId="63A32BCB" w:rsidR="00CA6766" w:rsidRDefault="00F478A7">
      <w:pPr>
        <w:pStyle w:val="ListParagraph"/>
        <w:numPr>
          <w:ilvl w:val="0"/>
          <w:numId w:val="13"/>
        </w:numPr>
        <w:rPr>
          <w:lang w:val="en-GB" w:eastAsia="en-GB"/>
        </w:rPr>
      </w:pPr>
      <w:hyperlink r:id="rId19"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lastRenderedPageBreak/>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28CABE93" w:rsidR="00D86976" w:rsidRDefault="00EF7E3F" w:rsidP="00D86976">
            <w:pPr>
              <w:rPr>
                <w:rFonts w:eastAsiaTheme="minorEastAsia"/>
                <w:lang w:val="en-GB" w:eastAsia="zh-CN"/>
              </w:rPr>
            </w:pPr>
            <w:r>
              <w:rPr>
                <w:rFonts w:eastAsiaTheme="minorEastAsia"/>
                <w:lang w:val="en-GB" w:eastAsia="zh-CN"/>
              </w:rPr>
              <w:t>Xiaomi</w:t>
            </w:r>
          </w:p>
        </w:tc>
        <w:tc>
          <w:tcPr>
            <w:tcW w:w="7889" w:type="dxa"/>
          </w:tcPr>
          <w:p w14:paraId="73F99CFD" w14:textId="3C87D467" w:rsidR="00D86976" w:rsidRDefault="00EF7E3F" w:rsidP="00D86976">
            <w:pPr>
              <w:rPr>
                <w:rFonts w:eastAsiaTheme="minorEastAsia"/>
                <w:lang w:val="en-GB" w:eastAsia="zh-CN"/>
              </w:rPr>
            </w:pPr>
            <w:r>
              <w:rPr>
                <w:rFonts w:eastAsiaTheme="minorEastAsia"/>
                <w:lang w:val="en-GB" w:eastAsia="zh-CN"/>
              </w:rPr>
              <w:t>Yumin Wu</w:t>
            </w:r>
          </w:p>
        </w:tc>
        <w:tc>
          <w:tcPr>
            <w:tcW w:w="5289" w:type="dxa"/>
          </w:tcPr>
          <w:p w14:paraId="4A0890F1" w14:textId="349B5499" w:rsidR="00D86976" w:rsidRDefault="00EF7E3F" w:rsidP="00D86976">
            <w:pPr>
              <w:rPr>
                <w:rFonts w:eastAsiaTheme="minorEastAsia"/>
                <w:lang w:val="en-GB" w:eastAsia="zh-CN"/>
              </w:rPr>
            </w:pPr>
            <w:r>
              <w:rPr>
                <w:rFonts w:eastAsiaTheme="minorEastAsia"/>
                <w:lang w:val="en-GB" w:eastAsia="zh-CN"/>
              </w:rPr>
              <w:t>wuyumin@xiaomi.com</w:t>
            </w: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8599" w14:textId="77777777" w:rsidR="00F478A7" w:rsidRDefault="00F478A7">
      <w:pPr>
        <w:spacing w:after="0" w:line="240" w:lineRule="auto"/>
      </w:pPr>
      <w:r>
        <w:separator/>
      </w:r>
    </w:p>
  </w:endnote>
  <w:endnote w:type="continuationSeparator" w:id="0">
    <w:p w14:paraId="4D98330C" w14:textId="77777777" w:rsidR="00F478A7" w:rsidRDefault="00F478A7">
      <w:pPr>
        <w:spacing w:after="0" w:line="240" w:lineRule="auto"/>
      </w:pPr>
      <w:r>
        <w:continuationSeparator/>
      </w:r>
    </w:p>
  </w:endnote>
  <w:endnote w:type="continuationNotice" w:id="1">
    <w:p w14:paraId="72689840" w14:textId="77777777" w:rsidR="00F478A7" w:rsidRDefault="00F47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E6B1C" w14:textId="77777777" w:rsidR="00F478A7" w:rsidRDefault="00F478A7">
      <w:pPr>
        <w:spacing w:after="0" w:line="240" w:lineRule="auto"/>
      </w:pPr>
      <w:r>
        <w:separator/>
      </w:r>
    </w:p>
  </w:footnote>
  <w:footnote w:type="continuationSeparator" w:id="0">
    <w:p w14:paraId="070FF6D6" w14:textId="77777777" w:rsidR="00F478A7" w:rsidRDefault="00F478A7">
      <w:pPr>
        <w:spacing w:after="0" w:line="240" w:lineRule="auto"/>
      </w:pPr>
      <w:r>
        <w:continuationSeparator/>
      </w:r>
    </w:p>
  </w:footnote>
  <w:footnote w:type="continuationNotice" w:id="1">
    <w:p w14:paraId="7C839B1C" w14:textId="77777777" w:rsidR="00F478A7" w:rsidRDefault="00F47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23C6"/>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45B4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03DF"/>
    <w:rsid w:val="001A1D52"/>
    <w:rsid w:val="001A21F5"/>
    <w:rsid w:val="001B47B8"/>
    <w:rsid w:val="001B4800"/>
    <w:rsid w:val="001B5053"/>
    <w:rsid w:val="001B6757"/>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00D6"/>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4411"/>
    <w:rsid w:val="005F5BCE"/>
    <w:rsid w:val="00600228"/>
    <w:rsid w:val="00602378"/>
    <w:rsid w:val="00606512"/>
    <w:rsid w:val="00607AB0"/>
    <w:rsid w:val="00611025"/>
    <w:rsid w:val="0061263B"/>
    <w:rsid w:val="00613B7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008E"/>
    <w:rsid w:val="006B0374"/>
    <w:rsid w:val="006B3BBA"/>
    <w:rsid w:val="006D35FF"/>
    <w:rsid w:val="006D58E5"/>
    <w:rsid w:val="006D70FA"/>
    <w:rsid w:val="006E1588"/>
    <w:rsid w:val="006E2236"/>
    <w:rsid w:val="006E65CF"/>
    <w:rsid w:val="006E7D3E"/>
    <w:rsid w:val="006F0E70"/>
    <w:rsid w:val="006F7819"/>
    <w:rsid w:val="00706021"/>
    <w:rsid w:val="00706A9C"/>
    <w:rsid w:val="00706CCB"/>
    <w:rsid w:val="00710548"/>
    <w:rsid w:val="00710F49"/>
    <w:rsid w:val="00715408"/>
    <w:rsid w:val="0071633F"/>
    <w:rsid w:val="00722F76"/>
    <w:rsid w:val="00723BAA"/>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5FF"/>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4D8"/>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8626C"/>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02D6"/>
    <w:rsid w:val="00C53D42"/>
    <w:rsid w:val="00C562EF"/>
    <w:rsid w:val="00C57051"/>
    <w:rsid w:val="00C57271"/>
    <w:rsid w:val="00C57879"/>
    <w:rsid w:val="00C57A04"/>
    <w:rsid w:val="00C57D21"/>
    <w:rsid w:val="00C6265E"/>
    <w:rsid w:val="00C63CBA"/>
    <w:rsid w:val="00C66758"/>
    <w:rsid w:val="00C66E37"/>
    <w:rsid w:val="00C67998"/>
    <w:rsid w:val="00C712A0"/>
    <w:rsid w:val="00C741BB"/>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3E82"/>
    <w:rsid w:val="00CB48F8"/>
    <w:rsid w:val="00CB4DA5"/>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A68D3"/>
    <w:rsid w:val="00EB65DD"/>
    <w:rsid w:val="00EC5501"/>
    <w:rsid w:val="00EC5B9B"/>
    <w:rsid w:val="00EC765E"/>
    <w:rsid w:val="00ED00E1"/>
    <w:rsid w:val="00ED649A"/>
    <w:rsid w:val="00ED6E12"/>
    <w:rsid w:val="00EE23DC"/>
    <w:rsid w:val="00EE618E"/>
    <w:rsid w:val="00EF1D7C"/>
    <w:rsid w:val="00EF7E3F"/>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025C"/>
    <w:rsid w:val="00F4391C"/>
    <w:rsid w:val="00F46B98"/>
    <w:rsid w:val="00F478A7"/>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file:///C:\evutukuri\work\5G\RAN2\docs\R2-21058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91D4220-7937-4AA8-93DD-D5F1135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69EBDB-4E17-4E55-AB6E-C58F25B5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Xiaomi</cp:lastModifiedBy>
  <cp:revision>21</cp:revision>
  <dcterms:created xsi:type="dcterms:W3CDTF">2021-07-30T09:48:00Z</dcterms:created>
  <dcterms:modified xsi:type="dcterms:W3CDTF">2021-08-02T10:22:00Z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