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r>
              <w:rPr>
                <w:rFonts w:eastAsia="宋体" w:hint="eastAsia"/>
                <w:lang w:eastAsia="zh-CN"/>
              </w:rPr>
              <w:t>X</w:t>
            </w:r>
            <w:r>
              <w:rPr>
                <w:rFonts w:eastAsia="宋体"/>
                <w:lang w:eastAsia="zh-CN"/>
              </w:rPr>
              <w:t>ue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r>
              <w:rPr>
                <w:rFonts w:eastAsia="宋体" w:hint="eastAsia"/>
                <w:lang w:eastAsia="zh-CN"/>
              </w:rPr>
              <w:t>H</w:t>
            </w:r>
            <w:r>
              <w:rPr>
                <w:rFonts w:eastAsia="宋体"/>
                <w:lang w:eastAsia="zh-CN"/>
              </w:rPr>
              <w:t>ejun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r>
              <w:rPr>
                <w:rFonts w:eastAsia="宋体"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Henrik enbuske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r>
              <w:rPr>
                <w:rFonts w:eastAsia="宋体" w:hint="eastAsia"/>
                <w:lang w:val="en-US" w:eastAsia="zh-CN"/>
              </w:rPr>
              <w:t>H</w:t>
            </w:r>
            <w:r>
              <w:rPr>
                <w:rFonts w:eastAsia="宋体"/>
                <w:lang w:val="en-US" w:eastAsia="zh-CN"/>
              </w:rPr>
              <w:t>sinHsi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r>
              <w:rPr>
                <w:lang w:eastAsia="ko-KR"/>
              </w:rPr>
              <w:t>InterDigital</w:t>
            </w:r>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uawei, HiSilicon</w:t>
            </w:r>
          </w:p>
        </w:tc>
        <w:tc>
          <w:tcPr>
            <w:tcW w:w="2840" w:type="dxa"/>
          </w:tcPr>
          <w:p w14:paraId="4782124D" w14:textId="1F050B53"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 Guo</w:t>
            </w:r>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0"/>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宋体"/>
          <w:sz w:val="22"/>
          <w:lang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0"/>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宋体"/>
                <w:lang w:val="en-US" w:eastAsia="zh-CN"/>
              </w:rPr>
              <w:t>Generally we agree with LG that CG can be tanke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Dedicated RACH resouces could only be used in the same cell and introduce complexity for the RA-SDT.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Furthermore, dedicated CFRA will consum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857E34">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857E34">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r>
              <w:rPr>
                <w:rFonts w:eastAsiaTheme="minorEastAsia"/>
                <w:lang w:eastAsia="ko-KR"/>
              </w:rPr>
              <w:t>InterDigital</w:t>
            </w:r>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857E34">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uawei, HiSilicon</w:t>
            </w:r>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The dedicated RA resource provided in RRCRelease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2512A">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115.8pt" o:ole="">
            <v:imagedata r:id="rId13" o:title=""/>
          </v:shape>
          <o:OLEObject Type="Embed" ProgID="Visio.Drawing.15" ShapeID="_x0000_i1025" DrawAspect="Content" ObjectID="_1681851838" r:id="rId14"/>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0"/>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lastRenderedPageBreak/>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857E34">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857E34">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857E34">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857E34">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857E34">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lastRenderedPageBreak/>
              <w:t>H</w:t>
            </w:r>
            <w:r>
              <w:rPr>
                <w:rFonts w:eastAsia="宋体"/>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 xml:space="preserve">A more direct answer to the question is that we should have two parameters of CB-PreamblesPerSSB for 4stepSDT and 2-stepSDT. </w:t>
            </w:r>
          </w:p>
        </w:tc>
      </w:tr>
      <w:tr w:rsidR="00DC52D0" w14:paraId="0FDB9309" w14:textId="77777777" w:rsidTr="00857E34">
        <w:trPr>
          <w:trHeight w:val="454"/>
        </w:trPr>
        <w:tc>
          <w:tcPr>
            <w:tcW w:w="1256" w:type="dxa"/>
            <w:vAlign w:val="center"/>
          </w:tcPr>
          <w:p w14:paraId="2403F652" w14:textId="77777777" w:rsidR="00DC52D0" w:rsidRDefault="00DC52D0" w:rsidP="00857E34">
            <w:pPr>
              <w:spacing w:after="0" w:line="240" w:lineRule="auto"/>
              <w:jc w:val="center"/>
              <w:rPr>
                <w:rFonts w:eastAsia="宋体"/>
                <w:sz w:val="22"/>
                <w:szCs w:val="22"/>
                <w:lang w:eastAsia="zh-CN"/>
              </w:rPr>
            </w:pPr>
          </w:p>
        </w:tc>
        <w:tc>
          <w:tcPr>
            <w:tcW w:w="1574" w:type="dxa"/>
            <w:vAlign w:val="center"/>
          </w:tcPr>
          <w:p w14:paraId="470D806E" w14:textId="77777777" w:rsidR="00DC52D0" w:rsidRDefault="00DC52D0" w:rsidP="00857E34">
            <w:pPr>
              <w:spacing w:after="0" w:line="240" w:lineRule="auto"/>
              <w:jc w:val="center"/>
              <w:rPr>
                <w:rFonts w:eastAsia="宋体"/>
                <w:sz w:val="22"/>
                <w:szCs w:val="22"/>
                <w:lang w:eastAsia="zh-CN"/>
              </w:rPr>
            </w:pP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2512A">
      <w:pPr>
        <w:adjustRightInd w:val="0"/>
        <w:snapToGrid w:val="0"/>
        <w:spacing w:after="0" w:line="240" w:lineRule="auto"/>
        <w:jc w:val="center"/>
      </w:pPr>
      <w:r>
        <w:rPr>
          <w:noProof/>
        </w:rPr>
        <w:object w:dxaOrig="8722" w:dyaOrig="2323" w14:anchorId="08442B19">
          <v:shape id="_x0000_i1026" type="#_x0000_t75" style="width:436.6pt;height:116.05pt" o:ole="">
            <v:imagedata r:id="rId15" o:title=""/>
          </v:shape>
          <o:OLEObject Type="Embed" ProgID="Visio.Drawing.15" ShapeID="_x0000_i1026" DrawAspect="Content" ObjectID="_1681851839" r:id="rId16"/>
        </w:object>
      </w:r>
    </w:p>
    <w:p w14:paraId="4131E939"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77777777"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ROs are shared between SDT and non-SDT</w:t>
      </w:r>
      <w:r>
        <w:rPr>
          <w:sz w:val="22"/>
        </w:rPr>
        <w:t>?</w:t>
      </w:r>
    </w:p>
    <w:tbl>
      <w:tblPr>
        <w:tblStyle w:val="af0"/>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lastRenderedPageBreak/>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857E34">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857E34">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857E34">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857E34">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Details can be left for stage 3, and in consideration of other usecases for PRACH partitioning</w:t>
            </w:r>
          </w:p>
        </w:tc>
      </w:tr>
      <w:tr w:rsidR="00BD0EFE" w14:paraId="49526676" w14:textId="77777777" w:rsidTr="00857E34">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af3"/>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bookmarkStart w:id="7" w:name="_GoBack"/>
            <w:bookmarkEnd w:id="7"/>
            <w:r w:rsidRPr="00EE4A3E">
              <w:rPr>
                <w:sz w:val="21"/>
              </w:rPr>
              <w:t>.</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0"/>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857E34">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lastRenderedPageBreak/>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857E34">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857E34">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857E34">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857E34">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af5"/>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af5"/>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0"/>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857E34">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lastRenderedPageBreak/>
              <w:t>Google</w:t>
            </w:r>
          </w:p>
        </w:tc>
        <w:tc>
          <w:tcPr>
            <w:tcW w:w="1574" w:type="dxa"/>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857E34">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857E34">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857E34">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857E34">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t>The same approach to configure separate RO for 2-step RACH can be reused</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ROs for SDT and non-SDT are separate</w:t>
      </w:r>
      <w:r>
        <w:rPr>
          <w:sz w:val="22"/>
        </w:rPr>
        <w:t>?</w:t>
      </w:r>
    </w:p>
    <w:tbl>
      <w:tblPr>
        <w:tblStyle w:val="af0"/>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857E34">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857E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857E34">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857E34">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857E34">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5"/>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af5"/>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af5"/>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2512A">
      <w:pPr>
        <w:autoSpaceDE w:val="0"/>
        <w:autoSpaceDN w:val="0"/>
        <w:adjustRightInd w:val="0"/>
        <w:snapToGrid w:val="0"/>
        <w:spacing w:after="120" w:line="240" w:lineRule="auto"/>
        <w:contextualSpacing/>
        <w:jc w:val="center"/>
      </w:pPr>
      <w:r>
        <w:rPr>
          <w:noProof/>
        </w:rPr>
        <w:object w:dxaOrig="7621" w:dyaOrig="3872" w14:anchorId="638F4331">
          <v:shape id="_x0000_i1027" type="#_x0000_t75" style="width:383.05pt;height:193.25pt" o:ole="">
            <v:imagedata r:id="rId17" o:title=""/>
          </v:shape>
          <o:OLEObject Type="Embed" ProgID="Visio.Drawing.15" ShapeID="_x0000_i1027" DrawAspect="Content" ObjectID="_1681851840" r:id="rId18"/>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0"/>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857E34">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857E34">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857E34">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857E34">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857E34">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0"/>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w:t>
      </w:r>
      <w:r>
        <w:rPr>
          <w:sz w:val="22"/>
          <w:szCs w:val="22"/>
        </w:rPr>
        <w:lastRenderedPageBreak/>
        <w:t xml:space="preserve">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0"/>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0"/>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Without any enhancements, its not clear how the c</w:t>
            </w:r>
            <w:r>
              <w:rPr>
                <w:rFonts w:eastAsia="宋体" w:hint="eastAsia"/>
                <w:lang w:eastAsia="zh-CN"/>
              </w:rPr>
              <w:t xml:space="preserve">ommon </w:t>
            </w:r>
            <w:r>
              <w:rPr>
                <w:rFonts w:eastAsia="宋体"/>
                <w:lang w:eastAsia="zh-CN"/>
              </w:rPr>
              <w:t>RACH resources (i.e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opionion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宋体"/>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857E34">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From our understanding RACH common resource is allowed via implemention. There should be no impact on spec.</w:t>
            </w:r>
          </w:p>
        </w:tc>
      </w:tr>
      <w:tr w:rsidR="00BC0711" w14:paraId="537E5EFA" w14:textId="77777777" w:rsidTr="00857E34">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857E34">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857E34">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宋体"/>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35418501" w:rsidR="00161492" w:rsidRDefault="00161492" w:rsidP="00161492">
            <w:pPr>
              <w:spacing w:after="0" w:line="240" w:lineRule="auto"/>
              <w:rPr>
                <w:rFonts w:eastAsiaTheme="minorEastAsia"/>
                <w:lang w:eastAsia="ko-KR"/>
              </w:rPr>
            </w:pPr>
            <w:r>
              <w:rPr>
                <w:rFonts w:eastAsia="宋体"/>
                <w:lang w:eastAsia="zh-CN"/>
              </w:rPr>
              <w:t xml:space="preserve">Partioning for every single usecase results in limited RACH capacity for legacy UEs. Agree with the rapporteur’s view that the UE should initiate an SDT procedure if there are ROs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857E34">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t>We thinik it is important that we also support shared RACH resources between SDT and non-SDT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0"/>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0"/>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862"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14:paraId="798824B4" w14:textId="77777777" w:rsidR="000628AF" w:rsidRDefault="003057DE">
            <w:pPr>
              <w:pStyle w:val="af5"/>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af5"/>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2"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857E34">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857E34">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857E34">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857E34">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2"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857E34">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2"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857E34">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862"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6" w:type="dxa"/>
          </w:tcPr>
          <w:p w14:paraId="1FEEA36D" w14:textId="77777777" w:rsidR="0071534F" w:rsidRDefault="0071534F" w:rsidP="00BC0711">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8" w:name="_Toc68204924"/>
      <w:r>
        <w:rPr>
          <w:sz w:val="22"/>
          <w:szCs w:val="22"/>
        </w:rPr>
        <w:t>process configuration and HARQ process ID determination are the same as Rel-16 NR</w:t>
      </w:r>
      <w:bookmarkEnd w:id="8"/>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0"/>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lastRenderedPageBreak/>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5"/>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5"/>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0"/>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lastRenderedPageBreak/>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宋体" w:hint="eastAsia"/>
                <w:sz w:val="22"/>
                <w:lang w:eastAsia="zh-CN"/>
              </w:rPr>
              <w:lastRenderedPageBreak/>
              <w:t>ASUST</w:t>
            </w:r>
            <w:r w:rsidRPr="00885F41">
              <w:rPr>
                <w:rFonts w:eastAsia="宋体"/>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configrm the FFS fisrt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857E34">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857E34">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857E34">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9" w:name="OLE_LINK113"/>
            <w:bookmarkStart w:id="10" w:name="OLE_LINK114"/>
            <w:r w:rsidRPr="00AC6C9F">
              <w:rPr>
                <w:rFonts w:eastAsiaTheme="minorEastAsia"/>
                <w:lang w:eastAsia="ko-KR"/>
              </w:rPr>
              <w:t>R2-2103533</w:t>
            </w:r>
            <w:bookmarkEnd w:id="9"/>
            <w:bookmarkEnd w:id="10"/>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5"/>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857E34">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857E34">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be  impacted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Nevetherless, it should be noted that for TDD, the only requirement is that the center frequency for UL and DL should be the same while the bandwidth can be different. Also, even for initial BWP, dedicated </w:t>
            </w:r>
            <w:r>
              <w:rPr>
                <w:rFonts w:eastAsia="宋体"/>
                <w:sz w:val="22"/>
                <w:szCs w:val="22"/>
                <w:lang w:eastAsia="zh-CN"/>
              </w:rPr>
              <w:lastRenderedPageBreak/>
              <w:t>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0"/>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0"/>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77777777" w:rsidR="000628AF" w:rsidRDefault="003057DE">
            <w:pPr>
              <w:pStyle w:val="af5"/>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af5"/>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lastRenderedPageBreak/>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0"/>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857E34">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857E34">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857E34">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857E34">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explicitly signaling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lastRenderedPageBreak/>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0"/>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0"/>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857E34">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857E34">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857E34">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gNB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0"/>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857E34">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can not be used for retransmission of a CG, since the UE will consider that the NDI to be toggled anyway if the UE receives </w:t>
            </w:r>
            <w:r>
              <w:rPr>
                <w:lang w:val="en-US" w:eastAsia="zh-CN"/>
              </w:rPr>
              <w:lastRenderedPageBreak/>
              <w:t>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77777777"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entity's C-RNTI and if the previous uplink grant delivered to the HARQ entity for the same HARQ process was either an uplink grant received for the MAC entity's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857E34">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lastRenderedPageBreak/>
              <w:t>InterDigital</w:t>
            </w:r>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857E34">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5"/>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bookmarkStart w:id="11" w:name="_Ref481486326"/>
      <w:bookmarkStart w:id="12" w:name="_Ref488061725"/>
      <w:bookmarkStart w:id="13" w:name="_Ref189809556"/>
      <w:bookmarkStart w:id="14" w:name="_Ref521659446"/>
      <w:bookmarkStart w:id="15" w:name="_Ref534127550"/>
      <w:bookmarkStart w:id="16" w:name="_Ref174151459"/>
      <w:bookmarkStart w:id="17"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1"/>
      <w:bookmarkEnd w:id="12"/>
      <w:bookmarkEnd w:id="13"/>
      <w:bookmarkEnd w:id="14"/>
      <w:bookmarkEnd w:id="15"/>
      <w:bookmarkEnd w:id="16"/>
      <w:bookmarkEnd w:id="17"/>
    </w:p>
    <w:p w14:paraId="47C58588" w14:textId="77777777" w:rsidR="000628AF" w:rsidRDefault="003057DE">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8333FA">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8333FA">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8333FA">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8333FA">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8333FA">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8333FA">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8333FA">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8333FA">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8333FA">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8333FA">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8333FA">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8333FA">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8333FA">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8333FA">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8333FA">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8333FA">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8333FA">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8333FA">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8333FA">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8333FA">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8333FA">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8333FA">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2"/>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37CC" w14:textId="77777777" w:rsidR="008333FA" w:rsidRDefault="008333FA">
      <w:pPr>
        <w:spacing w:after="0" w:line="240" w:lineRule="auto"/>
      </w:pPr>
      <w:r>
        <w:separator/>
      </w:r>
    </w:p>
  </w:endnote>
  <w:endnote w:type="continuationSeparator" w:id="0">
    <w:p w14:paraId="7AFC015B" w14:textId="77777777" w:rsidR="008333FA" w:rsidRDefault="0083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4BA6" w14:textId="77777777" w:rsidR="008333FA" w:rsidRDefault="008333FA">
      <w:pPr>
        <w:spacing w:after="0" w:line="240" w:lineRule="auto"/>
      </w:pPr>
      <w:r>
        <w:separator/>
      </w:r>
    </w:p>
  </w:footnote>
  <w:footnote w:type="continuationSeparator" w:id="0">
    <w:p w14:paraId="771219AB" w14:textId="77777777" w:rsidR="008333FA" w:rsidRDefault="00833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7988" w14:textId="77777777" w:rsidR="00EE11C6" w:rsidRDefault="00EE11C6">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33A58"/>
    <w:rsid w:val="000628AF"/>
    <w:rsid w:val="000A2B17"/>
    <w:rsid w:val="000C13EF"/>
    <w:rsid w:val="000C3772"/>
    <w:rsid w:val="000E5D21"/>
    <w:rsid w:val="0010477A"/>
    <w:rsid w:val="00110517"/>
    <w:rsid w:val="0013271D"/>
    <w:rsid w:val="00161492"/>
    <w:rsid w:val="00176F90"/>
    <w:rsid w:val="00192796"/>
    <w:rsid w:val="001B0366"/>
    <w:rsid w:val="001B32F5"/>
    <w:rsid w:val="002136C7"/>
    <w:rsid w:val="0023231B"/>
    <w:rsid w:val="00251ECF"/>
    <w:rsid w:val="002743A7"/>
    <w:rsid w:val="002B2C1E"/>
    <w:rsid w:val="002C2D1C"/>
    <w:rsid w:val="002D31E7"/>
    <w:rsid w:val="003057DE"/>
    <w:rsid w:val="003605A3"/>
    <w:rsid w:val="003712ED"/>
    <w:rsid w:val="003D062A"/>
    <w:rsid w:val="00407A34"/>
    <w:rsid w:val="0041575C"/>
    <w:rsid w:val="00494666"/>
    <w:rsid w:val="004A0622"/>
    <w:rsid w:val="004A2694"/>
    <w:rsid w:val="004D39BF"/>
    <w:rsid w:val="004F43C0"/>
    <w:rsid w:val="00647B0A"/>
    <w:rsid w:val="006C6E4E"/>
    <w:rsid w:val="006E74F3"/>
    <w:rsid w:val="006F2412"/>
    <w:rsid w:val="0071534F"/>
    <w:rsid w:val="00724399"/>
    <w:rsid w:val="007516D7"/>
    <w:rsid w:val="00760398"/>
    <w:rsid w:val="00797379"/>
    <w:rsid w:val="007B6D88"/>
    <w:rsid w:val="007C6F4D"/>
    <w:rsid w:val="007E2E26"/>
    <w:rsid w:val="007E7C61"/>
    <w:rsid w:val="008333FA"/>
    <w:rsid w:val="00857E34"/>
    <w:rsid w:val="00861EE7"/>
    <w:rsid w:val="00874F0C"/>
    <w:rsid w:val="00894BD1"/>
    <w:rsid w:val="008A145E"/>
    <w:rsid w:val="008B1F6E"/>
    <w:rsid w:val="008B66A8"/>
    <w:rsid w:val="008C5F71"/>
    <w:rsid w:val="008E5BE6"/>
    <w:rsid w:val="0093200E"/>
    <w:rsid w:val="00945198"/>
    <w:rsid w:val="00956B37"/>
    <w:rsid w:val="009A0789"/>
    <w:rsid w:val="009A1E8A"/>
    <w:rsid w:val="009E7F0C"/>
    <w:rsid w:val="00A01F30"/>
    <w:rsid w:val="00A2512A"/>
    <w:rsid w:val="00A4428B"/>
    <w:rsid w:val="00A51324"/>
    <w:rsid w:val="00A92B99"/>
    <w:rsid w:val="00AA12D7"/>
    <w:rsid w:val="00AB2419"/>
    <w:rsid w:val="00AB2C25"/>
    <w:rsid w:val="00B4191A"/>
    <w:rsid w:val="00B64E7D"/>
    <w:rsid w:val="00B85997"/>
    <w:rsid w:val="00BB3FBA"/>
    <w:rsid w:val="00BC0711"/>
    <w:rsid w:val="00BC4395"/>
    <w:rsid w:val="00BD0EFE"/>
    <w:rsid w:val="00BD3328"/>
    <w:rsid w:val="00C20C9A"/>
    <w:rsid w:val="00C21786"/>
    <w:rsid w:val="00C80403"/>
    <w:rsid w:val="00CA2413"/>
    <w:rsid w:val="00CA7EB6"/>
    <w:rsid w:val="00CB27CF"/>
    <w:rsid w:val="00CB66A0"/>
    <w:rsid w:val="00D145C6"/>
    <w:rsid w:val="00DA35FB"/>
    <w:rsid w:val="00DC52D0"/>
    <w:rsid w:val="00DD0513"/>
    <w:rsid w:val="00DD392C"/>
    <w:rsid w:val="00DE474D"/>
    <w:rsid w:val="00DF1F1F"/>
    <w:rsid w:val="00DF2B38"/>
    <w:rsid w:val="00E00F2D"/>
    <w:rsid w:val="00E13B14"/>
    <w:rsid w:val="00E4288C"/>
    <w:rsid w:val="00E522D0"/>
    <w:rsid w:val="00E87FB3"/>
    <w:rsid w:val="00E9218C"/>
    <w:rsid w:val="00EA6F22"/>
    <w:rsid w:val="00EB2702"/>
    <w:rsid w:val="00EE11C6"/>
    <w:rsid w:val="00EE4A3E"/>
    <w:rsid w:val="00F04638"/>
    <w:rsid w:val="00F236BD"/>
    <w:rsid w:val="00F70903"/>
    <w:rsid w:val="00F837E5"/>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spacing w:after="200" w:line="276" w:lineRule="auto"/>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33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22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11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8C3C1F40-5E4A-4BE9-8EA6-1476A608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21</Pages>
  <Words>8063</Words>
  <Characters>45965</Characters>
  <Application>Microsoft Office Word</Application>
  <DocSecurity>0</DocSecurity>
  <Lines>383</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YinghaoGuo</cp:lastModifiedBy>
  <cp:revision>16</cp:revision>
  <cp:lastPrinted>1900-12-31T23:00:00Z</cp:lastPrinted>
  <dcterms:created xsi:type="dcterms:W3CDTF">2021-05-06T14:48:00Z</dcterms:created>
  <dcterms:modified xsi:type="dcterms:W3CDTF">2021-05-06T16:17:00Z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