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4414E" w14:textId="67D207CF" w:rsidR="00C256B2" w:rsidRPr="00DC2880" w:rsidRDefault="00C256B2" w:rsidP="00C450D4">
      <w:pPr>
        <w:tabs>
          <w:tab w:val="left" w:pos="1499"/>
          <w:tab w:val="left" w:pos="4180"/>
        </w:tabs>
        <w:rPr>
          <w:rFonts w:ascii="Arial" w:hAnsi="Arial" w:cs="Arial"/>
          <w:b/>
          <w:color w:val="000000"/>
          <w:kern w:val="2"/>
          <w:sz w:val="24"/>
          <w:lang w:val="en-US"/>
        </w:rPr>
      </w:pPr>
      <w:r w:rsidRPr="00DC2880">
        <w:rPr>
          <w:rFonts w:ascii="Arial" w:hAnsi="Arial" w:cs="Arial"/>
          <w:b/>
          <w:color w:val="000000"/>
          <w:kern w:val="2"/>
          <w:sz w:val="24"/>
          <w:lang w:val="en-US"/>
        </w:rPr>
        <w:t>3GPP TSG-RAN WG2 Meeting #11</w:t>
      </w:r>
      <w:r w:rsidR="00904BEE">
        <w:rPr>
          <w:rFonts w:ascii="Arial" w:hAnsi="Arial" w:cs="Arial"/>
          <w:b/>
          <w:color w:val="000000"/>
          <w:kern w:val="2"/>
          <w:sz w:val="24"/>
          <w:lang w:val="en-US"/>
        </w:rPr>
        <w:t>2</w:t>
      </w:r>
      <w:r w:rsidRPr="00DC2880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electronic</w:t>
      </w:r>
      <w:r w:rsidRPr="00DC2880"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 w:rsidR="005D09FB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  </w:t>
      </w:r>
      <w:r w:rsidR="00154B94" w:rsidRPr="00154B94">
        <w:rPr>
          <w:rFonts w:ascii="Arial" w:hAnsi="Arial" w:cs="Arial"/>
          <w:b/>
          <w:color w:val="000000"/>
          <w:kern w:val="2"/>
          <w:sz w:val="24"/>
          <w:lang w:val="en-US"/>
        </w:rPr>
        <w:t>R2-2010</w:t>
      </w:r>
      <w:ins w:id="0" w:author="Helka-Liina Maattanen" w:date="2020-11-04T11:34:00Z">
        <w:r w:rsidR="00944D2A">
          <w:rPr>
            <w:rFonts w:ascii="Arial" w:hAnsi="Arial" w:cs="Arial"/>
            <w:b/>
            <w:color w:val="000000"/>
            <w:kern w:val="2"/>
            <w:sz w:val="24"/>
            <w:lang w:val="en-US"/>
          </w:rPr>
          <w:t>772</w:t>
        </w:r>
      </w:ins>
      <w:del w:id="1" w:author="Helka-Liina Maattanen" w:date="2020-11-04T11:33:00Z">
        <w:r w:rsidR="00154B94" w:rsidRPr="00154B94" w:rsidDel="00944D2A">
          <w:rPr>
            <w:rFonts w:ascii="Arial" w:hAnsi="Arial" w:cs="Arial"/>
            <w:b/>
            <w:color w:val="000000"/>
            <w:kern w:val="2"/>
            <w:sz w:val="24"/>
            <w:lang w:val="en-US"/>
          </w:rPr>
          <w:delText>637</w:delText>
        </w:r>
      </w:del>
    </w:p>
    <w:p w14:paraId="737A26F3" w14:textId="5206BE8B" w:rsidR="00C256B2" w:rsidRDefault="00904BEE" w:rsidP="00C256B2">
      <w:pPr>
        <w:tabs>
          <w:tab w:val="left" w:pos="1979"/>
          <w:tab w:val="left" w:pos="2100"/>
          <w:tab w:val="left" w:pos="2520"/>
          <w:tab w:val="left" w:pos="4180"/>
        </w:tabs>
        <w:rPr>
          <w:rFonts w:ascii="Arial" w:hAnsi="Arial" w:cs="Arial"/>
          <w:b/>
          <w:color w:val="000000"/>
          <w:kern w:val="2"/>
          <w:sz w:val="24"/>
          <w:lang w:val="en-US"/>
        </w:rPr>
      </w:pPr>
      <w:r w:rsidRPr="00904BEE">
        <w:rPr>
          <w:rFonts w:ascii="Arial" w:hAnsi="Arial" w:cs="Arial"/>
          <w:b/>
          <w:color w:val="000000"/>
          <w:kern w:val="2"/>
          <w:sz w:val="24"/>
          <w:lang w:val="en-US"/>
        </w:rPr>
        <w:t>Electronic Meeting, Nov 2-13,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0694A9D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351B69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B55493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26016B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080E9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1E6DB8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93DC57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6C92EE3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BCA956B" w14:textId="202F41A6" w:rsidR="001E41F3" w:rsidRPr="00410371" w:rsidRDefault="004E59A9" w:rsidP="009D7F51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3A6CB3">
              <w:rPr>
                <w:b/>
                <w:noProof/>
                <w:sz w:val="28"/>
              </w:rPr>
              <w:t>3</w:t>
            </w:r>
            <w:r w:rsidR="000036D5" w:rsidRPr="003A6CB3">
              <w:rPr>
                <w:rFonts w:hint="eastAsia"/>
                <w:b/>
                <w:noProof/>
                <w:sz w:val="28"/>
              </w:rPr>
              <w:t>8.3</w:t>
            </w:r>
            <w:r w:rsidR="00A66E43">
              <w:rPr>
                <w:b/>
                <w:noProof/>
                <w:sz w:val="28"/>
              </w:rPr>
              <w:t>21</w:t>
            </w:r>
          </w:p>
        </w:tc>
        <w:tc>
          <w:tcPr>
            <w:tcW w:w="709" w:type="dxa"/>
          </w:tcPr>
          <w:p w14:paraId="05D3079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BD7A811" w14:textId="418A6634" w:rsidR="001E41F3" w:rsidRPr="00410371" w:rsidRDefault="00F84C86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0994</w:t>
            </w:r>
          </w:p>
        </w:tc>
        <w:tc>
          <w:tcPr>
            <w:tcW w:w="709" w:type="dxa"/>
          </w:tcPr>
          <w:p w14:paraId="6B575716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0B4C8B4" w14:textId="4FC2AA82" w:rsidR="001E41F3" w:rsidRPr="00410371" w:rsidRDefault="00944D2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2" w:author="Helka-Liina Maattanen" w:date="2020-11-04T11:33:00Z">
              <w:r>
                <w:rPr>
                  <w:b/>
                  <w:noProof/>
                </w:rPr>
                <w:t>1</w:t>
              </w:r>
            </w:ins>
          </w:p>
        </w:tc>
        <w:tc>
          <w:tcPr>
            <w:tcW w:w="2410" w:type="dxa"/>
          </w:tcPr>
          <w:p w14:paraId="02844F7A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8E9A3A2" w14:textId="49FA6899" w:rsidR="001E41F3" w:rsidRPr="00410371" w:rsidRDefault="00454D48" w:rsidP="007A764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3A6CB3">
              <w:rPr>
                <w:b/>
                <w:noProof/>
                <w:sz w:val="28"/>
              </w:rPr>
              <w:t>1</w:t>
            </w:r>
            <w:r w:rsidR="007A764E" w:rsidRPr="003A6CB3">
              <w:rPr>
                <w:b/>
                <w:noProof/>
                <w:sz w:val="28"/>
              </w:rPr>
              <w:t>6</w:t>
            </w:r>
            <w:r w:rsidR="004E59A9" w:rsidRPr="003A6CB3">
              <w:rPr>
                <w:b/>
                <w:noProof/>
                <w:sz w:val="28"/>
              </w:rPr>
              <w:t>.</w:t>
            </w:r>
            <w:r w:rsidR="0081027D">
              <w:rPr>
                <w:b/>
                <w:noProof/>
                <w:sz w:val="28"/>
              </w:rPr>
              <w:t>2</w:t>
            </w:r>
            <w:r w:rsidR="004E59A9" w:rsidRPr="003A6CB3">
              <w:rPr>
                <w:b/>
                <w:noProof/>
                <w:sz w:val="28"/>
              </w:rPr>
              <w:t>.</w:t>
            </w:r>
            <w:r w:rsidR="00A66E43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6374D0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EC3B9B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D78CF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878294E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5B7D52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C86D277" w14:textId="77777777" w:rsidTr="00547111">
        <w:tc>
          <w:tcPr>
            <w:tcW w:w="9641" w:type="dxa"/>
            <w:gridSpan w:val="9"/>
          </w:tcPr>
          <w:p w14:paraId="74D578C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B45025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4EE8E4" w14:textId="77777777" w:rsidTr="00A7671C">
        <w:tc>
          <w:tcPr>
            <w:tcW w:w="2835" w:type="dxa"/>
          </w:tcPr>
          <w:p w14:paraId="4178692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367B07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E9021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02362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0E42B25" w14:textId="77777777" w:rsidR="00F25D98" w:rsidRDefault="004E59A9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3C57EE0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453563E" w14:textId="77777777" w:rsidR="00F25D98" w:rsidRDefault="004E59A9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C2037E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B0C84C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0492C7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D4B2127" w14:textId="77777777" w:rsidTr="00547111">
        <w:tc>
          <w:tcPr>
            <w:tcW w:w="9640" w:type="dxa"/>
            <w:gridSpan w:val="11"/>
          </w:tcPr>
          <w:p w14:paraId="623B056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0FB218C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6439BC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BAF2A3" w14:textId="7C78E223" w:rsidR="001E41F3" w:rsidRPr="00977F6E" w:rsidRDefault="00A66E43" w:rsidP="007A764E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bookmarkStart w:id="4" w:name="_Hlk54182256"/>
            <w:r w:rsidRPr="00A66E43">
              <w:rPr>
                <w:noProof/>
              </w:rPr>
              <w:t>Correction for CC list operation for TCI state update MAC CE</w:t>
            </w:r>
            <w:bookmarkEnd w:id="4"/>
          </w:p>
        </w:tc>
      </w:tr>
      <w:tr w:rsidR="001E41F3" w14:paraId="753D46E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D42B2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2C7C77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8FE1C6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AD5D7D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8C56D48" w14:textId="11F2B7BA" w:rsidR="001E41F3" w:rsidRDefault="00801425" w:rsidP="00C448EB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  <w:r w:rsidR="00930185">
              <w:t>, Samsung</w:t>
            </w:r>
          </w:p>
        </w:tc>
      </w:tr>
      <w:tr w:rsidR="001E41F3" w14:paraId="124C5C6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7946C9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15C5A6" w14:textId="77777777" w:rsidR="001E41F3" w:rsidRDefault="004E59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6E6EA9F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680BE5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41400C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B6E8A7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67B09C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932CED0" w14:textId="65DB00C0" w:rsidR="001E41F3" w:rsidRDefault="002B4FA3">
            <w:pPr>
              <w:pStyle w:val="CRCoverPage"/>
              <w:spacing w:after="0"/>
              <w:ind w:left="100"/>
              <w:rPr>
                <w:noProof/>
              </w:rPr>
            </w:pPr>
            <w:r w:rsidRPr="00067AB9">
              <w:rPr>
                <w:noProof/>
              </w:rPr>
              <w:t>NR_newRAT-Core</w:t>
            </w:r>
            <w:r w:rsidR="00783D9D">
              <w:rPr>
                <w:noProof/>
              </w:rPr>
              <w:t xml:space="preserve">, </w:t>
            </w:r>
            <w:proofErr w:type="spellStart"/>
            <w:r w:rsidR="00783D9D">
              <w:t>NR_eMIMO</w:t>
            </w:r>
            <w:proofErr w:type="spellEnd"/>
            <w:r w:rsidR="00783D9D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0D34F242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33E88A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0D0465" w14:textId="77777777" w:rsidR="001E41F3" w:rsidRDefault="004E59A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</w:t>
            </w:r>
            <w:r w:rsidR="00C256B2">
              <w:t>8</w:t>
            </w:r>
            <w:r>
              <w:t>-</w:t>
            </w:r>
            <w:r w:rsidR="00C256B2">
              <w:t>01</w:t>
            </w:r>
          </w:p>
        </w:tc>
      </w:tr>
      <w:tr w:rsidR="001E41F3" w14:paraId="024B0EC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AC2765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1426DD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C7C14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F27FB8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BEA304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B9CF9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481B85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F8A8EBE" w14:textId="593FE4BE" w:rsidR="001E41F3" w:rsidRDefault="00930185" w:rsidP="004E59A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  <w:r w:rsidR="004E59A9">
              <w:rPr>
                <w:b/>
                <w:noProof/>
              </w:rPr>
              <w:t xml:space="preserve"> 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193006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F82CF5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596D0F" w14:textId="6552CAB3" w:rsidR="001E41F3" w:rsidRDefault="004E59A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i/>
                <w:noProof/>
                <w:sz w:val="18"/>
              </w:rPr>
              <w:t>Re</w:t>
            </w:r>
            <w:r w:rsidR="00CF1ABB">
              <w:rPr>
                <w:i/>
                <w:noProof/>
                <w:sz w:val="18"/>
              </w:rPr>
              <w:t>l</w:t>
            </w:r>
            <w:r w:rsidR="00C448EB">
              <w:rPr>
                <w:rFonts w:hint="eastAsia"/>
                <w:i/>
                <w:noProof/>
                <w:sz w:val="18"/>
                <w:lang w:eastAsia="zh-CN"/>
              </w:rPr>
              <w:t>-1</w:t>
            </w:r>
            <w:r w:rsidR="002A0C02">
              <w:rPr>
                <w:i/>
                <w:noProof/>
                <w:sz w:val="18"/>
                <w:lang w:eastAsia="zh-CN"/>
              </w:rPr>
              <w:t>6</w:t>
            </w:r>
          </w:p>
        </w:tc>
      </w:tr>
      <w:tr w:rsidR="001E41F3" w14:paraId="09B08BE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85D7FF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603E63A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EA40654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593946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5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5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1DF4FEB" w14:textId="77777777" w:rsidTr="00547111">
        <w:tc>
          <w:tcPr>
            <w:tcW w:w="1843" w:type="dxa"/>
          </w:tcPr>
          <w:p w14:paraId="54F50D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821C06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21988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F09A0B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954AB75" w14:textId="0091F79B" w:rsidR="00A66E43" w:rsidRDefault="00A66E43" w:rsidP="00A66E43">
            <w:pPr>
              <w:spacing w:after="0"/>
              <w:jc w:val="both"/>
              <w:rPr>
                <w:rFonts w:eastAsia="Malgun Gothic"/>
                <w:sz w:val="22"/>
                <w:szCs w:val="22"/>
                <w:lang w:val="en-US" w:eastAsia="ko-KR"/>
              </w:rPr>
            </w:pPr>
            <w:r>
              <w:rPr>
                <w:rFonts w:eastAsia="Malgun Gothic"/>
                <w:sz w:val="22"/>
                <w:szCs w:val="22"/>
                <w:lang w:val="en-US" w:eastAsia="ko-KR"/>
              </w:rPr>
              <w:t xml:space="preserve">With the current text in TS 38.331 </w:t>
            </w:r>
            <w:r w:rsidRPr="00E64938">
              <w:rPr>
                <w:rFonts w:eastAsia="Malgun Gothic"/>
                <w:sz w:val="22"/>
                <w:szCs w:val="22"/>
                <w:lang w:val="en-US" w:eastAsia="ko-KR"/>
              </w:rPr>
              <w:t>it is not precluded to enable single DCI based multi-TRP/panel operation in one or more CC(s)/BWP(s) included in simultaneousTCI-UpdateList1 or simultaneousTCI-UpdateList2 by using Enhanced TCI States Activation/Deactivation for UE-specific PDSCH MAC CE.</w:t>
            </w:r>
            <w:r>
              <w:rPr>
                <w:rFonts w:eastAsia="Malgun Gothic"/>
                <w:sz w:val="22"/>
                <w:szCs w:val="22"/>
                <w:lang w:val="en-US" w:eastAsia="ko-KR"/>
              </w:rPr>
              <w:t xml:space="preserve"> However, the current form of the </w:t>
            </w:r>
            <w:r w:rsidRPr="00E64938">
              <w:rPr>
                <w:rFonts w:eastAsia="Malgun Gothic"/>
                <w:sz w:val="22"/>
                <w:szCs w:val="22"/>
                <w:lang w:val="en-US" w:eastAsia="ko-KR"/>
              </w:rPr>
              <w:t>Enhanced TCI States Activation/Deactivation for UE-specific PDSCH MAC CE</w:t>
            </w:r>
            <w:r>
              <w:rPr>
                <w:rFonts w:eastAsia="Malgun Gothic"/>
                <w:sz w:val="22"/>
                <w:szCs w:val="22"/>
                <w:lang w:val="en-US" w:eastAsia="ko-KR"/>
              </w:rPr>
              <w:t xml:space="preserve"> does not support this operation.</w:t>
            </w:r>
          </w:p>
          <w:p w14:paraId="6920CB3B" w14:textId="473609C7" w:rsidR="009136EE" w:rsidRPr="003A6CB3" w:rsidRDefault="009136EE" w:rsidP="0009593F">
            <w:pPr>
              <w:pStyle w:val="CRCoverPage"/>
              <w:spacing w:after="0"/>
              <w:rPr>
                <w:szCs w:val="22"/>
                <w:lang w:eastAsia="zh-CN"/>
              </w:rPr>
            </w:pPr>
          </w:p>
        </w:tc>
      </w:tr>
      <w:tr w:rsidR="001E41F3" w14:paraId="055159D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E499A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E7812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E11D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0E70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988E4B8" w14:textId="5E2DE66B" w:rsidR="0098466F" w:rsidRPr="008A2CBD" w:rsidRDefault="0098466F" w:rsidP="0098466F">
            <w:pPr>
              <w:spacing w:after="0"/>
              <w:jc w:val="both"/>
              <w:rPr>
                <w:rFonts w:eastAsia="Malgun Gothic"/>
                <w:sz w:val="22"/>
                <w:szCs w:val="22"/>
                <w:lang w:val="en-US" w:eastAsia="ko-KR"/>
              </w:rPr>
            </w:pPr>
            <w:r>
              <w:rPr>
                <w:rFonts w:eastAsia="Malgun Gothic"/>
                <w:sz w:val="22"/>
                <w:szCs w:val="22"/>
                <w:lang w:val="en-US" w:eastAsia="ko-KR"/>
              </w:rPr>
              <w:t xml:space="preserve">In order to support the functionality across CCs, the yellow sentence should be added to the field description of Serving Cell ID in </w:t>
            </w:r>
            <w:r w:rsidRPr="008A2CBD">
              <w:rPr>
                <w:rFonts w:eastAsia="Malgun Gothic"/>
                <w:sz w:val="22"/>
                <w:szCs w:val="22"/>
                <w:lang w:val="en-US" w:eastAsia="ko-KR"/>
              </w:rPr>
              <w:t xml:space="preserve">the </w:t>
            </w:r>
            <w:r w:rsidRPr="007D2C47">
              <w:rPr>
                <w:rFonts w:eastAsia="Malgun Gothic"/>
                <w:sz w:val="22"/>
                <w:szCs w:val="22"/>
                <w:lang w:val="en-US" w:eastAsia="ko-KR"/>
              </w:rPr>
              <w:t>Enhanced TCI States Activation/Deactivation for UE-specific PDSCH MAC</w:t>
            </w:r>
          </w:p>
          <w:p w14:paraId="63BB245C" w14:textId="77777777" w:rsidR="0098466F" w:rsidRDefault="0098466F" w:rsidP="0098466F">
            <w:pPr>
              <w:pStyle w:val="Observation"/>
              <w:numPr>
                <w:ilvl w:val="0"/>
                <w:numId w:val="0"/>
              </w:numPr>
              <w:ind w:left="1701" w:hanging="1701"/>
            </w:pPr>
          </w:p>
          <w:p w14:paraId="1D6EBC22" w14:textId="77777777" w:rsidR="0098466F" w:rsidRDefault="0098466F" w:rsidP="0098466F">
            <w:pPr>
              <w:spacing w:after="0"/>
              <w:jc w:val="both"/>
              <w:rPr>
                <w:rFonts w:eastAsia="Malgun Gothic"/>
                <w:sz w:val="22"/>
                <w:szCs w:val="22"/>
                <w:lang w:val="en-US" w:eastAsia="ko-KR"/>
              </w:rPr>
            </w:pPr>
          </w:p>
          <w:p w14:paraId="3C342E9B" w14:textId="7D9108E4" w:rsidR="0098466F" w:rsidRPr="000F3B30" w:rsidRDefault="0098466F" w:rsidP="0098466F">
            <w:pPr>
              <w:pStyle w:val="B1"/>
              <w:rPr>
                <w:noProof/>
              </w:rPr>
            </w:pPr>
            <w:r w:rsidRPr="000F3B30">
              <w:rPr>
                <w:noProof/>
              </w:rPr>
              <w:t>-</w:t>
            </w:r>
            <w:r w:rsidRPr="000F3B30">
              <w:rPr>
                <w:noProof/>
              </w:rPr>
              <w:tab/>
              <w:t>Serving Cell ID: This field indicates the identity of the Serving Cell for which the MAC CE applies. The length of the field is 5 bits.</w:t>
            </w:r>
            <w:r w:rsidRPr="000F3B30">
              <w:t xml:space="preserve"> </w:t>
            </w:r>
            <w:commentRangeStart w:id="6"/>
            <w:ins w:id="7" w:author="Helka-Liina Maattanen" w:date="2020-11-04T11:34:00Z">
              <w:r w:rsidR="00944D2A">
                <w:t xml:space="preserve">If the UE has indicated to support the feature and </w:t>
              </w:r>
            </w:ins>
            <w:commentRangeEnd w:id="6"/>
            <w:ins w:id="8" w:author="Helka-Liina Maattanen" w:date="2020-11-04T11:35:00Z">
              <w:r w:rsidR="00944D2A">
                <w:rPr>
                  <w:rStyle w:val="CommentReference"/>
                </w:rPr>
                <w:commentReference w:id="6"/>
              </w:r>
            </w:ins>
            <w:ins w:id="10" w:author="Helka-Liina Maattanen" w:date="2020-11-04T11:34:00Z">
              <w:r w:rsidR="00944D2A">
                <w:rPr>
                  <w:noProof/>
                  <w:highlight w:val="yellow"/>
                </w:rPr>
                <w:t>i</w:t>
              </w:r>
            </w:ins>
            <w:del w:id="11" w:author="Helka-Liina Maattanen" w:date="2020-11-04T11:34:00Z">
              <w:r w:rsidRPr="00A92C93" w:rsidDel="00944D2A">
                <w:rPr>
                  <w:noProof/>
                  <w:highlight w:val="yellow"/>
                </w:rPr>
                <w:delText>I</w:delText>
              </w:r>
            </w:del>
            <w:r w:rsidRPr="00A92C93">
              <w:rPr>
                <w:noProof/>
                <w:highlight w:val="yellow"/>
              </w:rPr>
              <w:t xml:space="preserve">f the indicated Serving Cell is configured as part of a </w:t>
            </w:r>
            <w:r w:rsidRPr="00A92C93">
              <w:rPr>
                <w:i/>
                <w:iCs/>
                <w:highlight w:val="yellow"/>
              </w:rPr>
              <w:t>simultaneousTCI-UpdateList1</w:t>
            </w:r>
            <w:r w:rsidRPr="00A92C93">
              <w:rPr>
                <w:highlight w:val="yellow"/>
              </w:rPr>
              <w:t xml:space="preserve"> or </w:t>
            </w:r>
            <w:r w:rsidRPr="00A92C93">
              <w:rPr>
                <w:i/>
                <w:iCs/>
                <w:highlight w:val="yellow"/>
              </w:rPr>
              <w:t>simultaneousTCI-UpdateList2</w:t>
            </w:r>
            <w:r w:rsidRPr="00A92C93">
              <w:rPr>
                <w:noProof/>
                <w:highlight w:val="yellow"/>
              </w:rPr>
              <w:t xml:space="preserve"> as specified in </w:t>
            </w:r>
            <w:r w:rsidRPr="00A92C93">
              <w:rPr>
                <w:highlight w:val="yellow"/>
                <w:lang w:eastAsia="ko-KR"/>
              </w:rPr>
              <w:t>TS 38.331 [5]</w:t>
            </w:r>
            <w:r w:rsidRPr="00A92C93">
              <w:rPr>
                <w:noProof/>
                <w:highlight w:val="yellow"/>
              </w:rPr>
              <w:t xml:space="preserve">, this MAC CE applies to all the </w:t>
            </w:r>
            <w:r w:rsidRPr="00A92C93">
              <w:rPr>
                <w:highlight w:val="yellow"/>
              </w:rPr>
              <w:t>Serving Cells configured</w:t>
            </w:r>
            <w:r w:rsidRPr="00A92C93">
              <w:rPr>
                <w:noProof/>
                <w:highlight w:val="yellow"/>
              </w:rPr>
              <w:t xml:space="preserve"> in the </w:t>
            </w:r>
            <w:r w:rsidRPr="00A92C93">
              <w:rPr>
                <w:highlight w:val="yellow"/>
              </w:rPr>
              <w:t xml:space="preserve">set </w:t>
            </w:r>
            <w:r w:rsidRPr="00A92C93">
              <w:rPr>
                <w:i/>
                <w:iCs/>
                <w:highlight w:val="yellow"/>
              </w:rPr>
              <w:t>simultaneousTCI-UpdateList1</w:t>
            </w:r>
            <w:r w:rsidRPr="00A92C93">
              <w:rPr>
                <w:highlight w:val="yellow"/>
              </w:rPr>
              <w:t xml:space="preserve"> or </w:t>
            </w:r>
            <w:r w:rsidRPr="00A92C93">
              <w:rPr>
                <w:i/>
                <w:iCs/>
                <w:highlight w:val="yellow"/>
              </w:rPr>
              <w:t>simultaneousTCI-UpdateList2</w:t>
            </w:r>
            <w:r w:rsidRPr="00A92C93">
              <w:rPr>
                <w:iCs/>
                <w:highlight w:val="yellow"/>
              </w:rPr>
              <w:t>, respectively</w:t>
            </w:r>
            <w:r w:rsidRPr="00A92C93">
              <w:rPr>
                <w:noProof/>
                <w:highlight w:val="yellow"/>
              </w:rPr>
              <w:t>;</w:t>
            </w:r>
          </w:p>
          <w:p w14:paraId="3F34F206" w14:textId="38ECCA60" w:rsidR="007315FA" w:rsidRPr="00801425" w:rsidRDefault="007315FA" w:rsidP="007315FA">
            <w:pPr>
              <w:pStyle w:val="CRCoverPage"/>
              <w:spacing w:after="0"/>
            </w:pPr>
          </w:p>
          <w:p w14:paraId="6D35B8DA" w14:textId="77777777" w:rsidR="007315FA" w:rsidRDefault="007315FA" w:rsidP="007315FA">
            <w:pPr>
              <w:pStyle w:val="CRCoverPage"/>
              <w:spacing w:after="0"/>
              <w:rPr>
                <w:b/>
                <w:noProof/>
                <w:lang w:eastAsia="ko-KR"/>
              </w:rPr>
            </w:pPr>
            <w:bookmarkStart w:id="12" w:name="_Hlk510019672"/>
            <w:r>
              <w:rPr>
                <w:b/>
                <w:noProof/>
                <w:lang w:eastAsia="ko-KR"/>
              </w:rPr>
              <w:t>Impact analysis</w:t>
            </w:r>
            <w:r w:rsidRPr="00FB1343">
              <w:rPr>
                <w:noProof/>
                <w:lang w:eastAsia="ko-KR"/>
              </w:rPr>
              <w:t>.</w:t>
            </w:r>
          </w:p>
          <w:p w14:paraId="410179E2" w14:textId="77777777" w:rsidR="007315FA" w:rsidRDefault="007315FA" w:rsidP="007315FA">
            <w:pPr>
              <w:pStyle w:val="CRCoverPage"/>
              <w:spacing w:after="0"/>
              <w:rPr>
                <w:u w:val="single"/>
                <w:lang w:eastAsia="zh-CN"/>
              </w:rPr>
            </w:pPr>
            <w:r>
              <w:rPr>
                <w:u w:val="single"/>
                <w:lang w:eastAsia="zh-CN"/>
              </w:rPr>
              <w:t>Impacted 5G architecture options:</w:t>
            </w:r>
          </w:p>
          <w:p w14:paraId="70ADA226" w14:textId="77777777" w:rsidR="007315FA" w:rsidRDefault="007315FA" w:rsidP="007315FA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NR SA, NR-DC, NE-DC</w:t>
            </w:r>
            <w:r w:rsidR="00801425">
              <w:rPr>
                <w:lang w:eastAsia="zh-CN"/>
              </w:rPr>
              <w:t>, EN-DC</w:t>
            </w:r>
          </w:p>
          <w:p w14:paraId="50327DD8" w14:textId="77777777" w:rsidR="007315FA" w:rsidRPr="007315FA" w:rsidRDefault="007315FA" w:rsidP="007315FA">
            <w:pPr>
              <w:pStyle w:val="CRCoverPage"/>
              <w:spacing w:after="0"/>
              <w:rPr>
                <w:b/>
                <w:noProof/>
                <w:lang w:eastAsia="ko-KR"/>
              </w:rPr>
            </w:pPr>
          </w:p>
          <w:p w14:paraId="4F672519" w14:textId="35E8629B" w:rsidR="007315FA" w:rsidRDefault="007315FA" w:rsidP="007315FA">
            <w:pPr>
              <w:pStyle w:val="CRCoverPage"/>
              <w:spacing w:after="0"/>
              <w:ind w:left="100"/>
              <w:rPr>
                <w:noProof/>
                <w:highlight w:val="yellow"/>
                <w:lang w:eastAsia="ko-KR"/>
              </w:rPr>
            </w:pPr>
            <w:r>
              <w:rPr>
                <w:noProof/>
                <w:u w:val="single"/>
                <w:lang w:eastAsia="ko-KR"/>
              </w:rPr>
              <w:t>Impacted functionality</w:t>
            </w:r>
            <w:r>
              <w:rPr>
                <w:noProof/>
                <w:lang w:eastAsia="ko-KR"/>
              </w:rPr>
              <w:t>:</w:t>
            </w:r>
            <w:r w:rsidR="009E02B8">
              <w:rPr>
                <w:noProof/>
                <w:lang w:eastAsia="ko-KR"/>
              </w:rPr>
              <w:t>MIMO</w:t>
            </w:r>
          </w:p>
          <w:p w14:paraId="430709FF" w14:textId="77777777" w:rsidR="007315FA" w:rsidRDefault="007315FA" w:rsidP="007315FA">
            <w:pPr>
              <w:pStyle w:val="CRCoverPage"/>
              <w:spacing w:after="0"/>
              <w:rPr>
                <w:noProof/>
                <w:lang w:eastAsia="ko-KR"/>
              </w:rPr>
            </w:pPr>
            <w:r>
              <w:rPr>
                <w:noProof/>
                <w:u w:val="single"/>
                <w:lang w:eastAsia="ko-KR"/>
              </w:rPr>
              <w:lastRenderedPageBreak/>
              <w:t>Inter-operability</w:t>
            </w:r>
            <w:r>
              <w:rPr>
                <w:noProof/>
                <w:lang w:eastAsia="ko-KR"/>
              </w:rPr>
              <w:t>:</w:t>
            </w:r>
          </w:p>
          <w:p w14:paraId="00175448" w14:textId="21058DBA" w:rsidR="007315FA" w:rsidRDefault="007315FA" w:rsidP="007315FA">
            <w:pPr>
              <w:pStyle w:val="CRCoverPage"/>
              <w:numPr>
                <w:ilvl w:val="0"/>
                <w:numId w:val="11"/>
              </w:numPr>
              <w:spacing w:after="0"/>
              <w:jc w:val="both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If the network is implemented according to the CR and the UE is not, the</w:t>
            </w:r>
            <w:r w:rsidR="00DB43F3">
              <w:rPr>
                <w:noProof/>
                <w:lang w:eastAsia="ko-KR"/>
              </w:rPr>
              <w:t xml:space="preserve"> network assumes </w:t>
            </w:r>
            <w:r w:rsidR="000D225D">
              <w:rPr>
                <w:noProof/>
                <w:lang w:eastAsia="ko-KR"/>
              </w:rPr>
              <w:t xml:space="preserve">UE has </w:t>
            </w:r>
            <w:r w:rsidR="00385269">
              <w:rPr>
                <w:noProof/>
                <w:lang w:eastAsia="ko-KR"/>
              </w:rPr>
              <w:t>updated</w:t>
            </w:r>
            <w:r w:rsidR="00F14342">
              <w:rPr>
                <w:noProof/>
                <w:lang w:eastAsia="ko-KR"/>
              </w:rPr>
              <w:t xml:space="preserve"> the TCI state across CCs but UE has not</w:t>
            </w:r>
            <w:r>
              <w:rPr>
                <w:noProof/>
                <w:lang w:eastAsia="ko-KR"/>
              </w:rPr>
              <w:t>.</w:t>
            </w:r>
          </w:p>
          <w:p w14:paraId="1A08FD10" w14:textId="7A40F32F" w:rsidR="007315FA" w:rsidRDefault="007315FA" w:rsidP="007315FA">
            <w:pPr>
              <w:pStyle w:val="CRCoverPage"/>
              <w:numPr>
                <w:ilvl w:val="0"/>
                <w:numId w:val="11"/>
              </w:numPr>
              <w:spacing w:after="0"/>
              <w:jc w:val="both"/>
              <w:rPr>
                <w:noProof/>
                <w:lang w:eastAsia="zh-CN"/>
              </w:rPr>
            </w:pPr>
            <w:r>
              <w:rPr>
                <w:noProof/>
                <w:lang w:eastAsia="ko-KR"/>
              </w:rPr>
              <w:t xml:space="preserve">If the UE is implemented according to the CR and the network is not, </w:t>
            </w:r>
            <w:r w:rsidR="00F14342">
              <w:rPr>
                <w:noProof/>
                <w:lang w:eastAsia="ko-KR"/>
              </w:rPr>
              <w:t>the network assumes UE does not update the TCI state across CCs but UE does update the TCI state across CCs</w:t>
            </w:r>
            <w:r>
              <w:rPr>
                <w:noProof/>
                <w:lang w:eastAsia="ko-KR"/>
              </w:rPr>
              <w:t>.</w:t>
            </w:r>
            <w:bookmarkEnd w:id="12"/>
          </w:p>
        </w:tc>
      </w:tr>
      <w:tr w:rsidR="001E41F3" w14:paraId="23E3AB0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324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B0397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D97055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025FD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6E4697" w14:textId="42CD2DEF" w:rsidR="00EF1669" w:rsidRDefault="0098466F" w:rsidP="0009593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Functionality to </w:t>
            </w:r>
            <w:r w:rsidRPr="0098466F">
              <w:rPr>
                <w:noProof/>
                <w:lang w:eastAsia="zh-CN"/>
              </w:rPr>
              <w:t>enable single DCI based multi-TRP/panel operation in one or more CC(s)/BWP(s) included in simultaneousTCI-UpdateList1 or simultaneousTCI-UpdateList2 by using Enhanced TCI States Activation/Deactivation for UE-specific PDSCH MAC CE is not supported.</w:t>
            </w:r>
          </w:p>
        </w:tc>
      </w:tr>
      <w:tr w:rsidR="001E41F3" w14:paraId="1CC6EE6D" w14:textId="77777777" w:rsidTr="00547111">
        <w:tc>
          <w:tcPr>
            <w:tcW w:w="2694" w:type="dxa"/>
            <w:gridSpan w:val="2"/>
          </w:tcPr>
          <w:p w14:paraId="15B3D50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EFF8CB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775F8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B5952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F28C76C" w14:textId="28B97D89" w:rsidR="001E41F3" w:rsidRDefault="00A66E4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6.1.2.24</w:t>
            </w:r>
          </w:p>
        </w:tc>
      </w:tr>
      <w:tr w:rsidR="001E41F3" w14:paraId="4C75A6F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98FA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7D9E0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EBC912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945A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53F76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646940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CA92B6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0F1FE7B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77E18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1917D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B3DC4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15AB51" w14:textId="77777777" w:rsidR="001E41F3" w:rsidRDefault="0084218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15A060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5A574C9" w14:textId="77777777" w:rsidR="00022574" w:rsidRDefault="0084218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5B6D513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87DC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2AE1A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1E70C0" w14:textId="77777777" w:rsidR="001E41F3" w:rsidRDefault="004E59A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8D81D0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5DDDCD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1995D6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D248D6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D40EBA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9CF1BB" w14:textId="77777777" w:rsidR="001E41F3" w:rsidRDefault="004E59A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5F2762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AB097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38A133E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5934D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4C067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A5CB7F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B51575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8FD14A" w14:textId="77777777" w:rsidR="001E41F3" w:rsidRDefault="001E41F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54733218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0A150E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7D6BF3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29A01AC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59FA1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D9C653" w14:textId="77777777" w:rsidR="008863B9" w:rsidRDefault="0009593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</w:t>
            </w:r>
          </w:p>
        </w:tc>
      </w:tr>
    </w:tbl>
    <w:p w14:paraId="693EDAB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B592694" w14:textId="77777777" w:rsidR="001E41F3" w:rsidRDefault="001E41F3">
      <w:pPr>
        <w:rPr>
          <w:noProof/>
        </w:rPr>
        <w:sectPr w:rsidR="001E41F3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63814" w14:paraId="5973C0D7" w14:textId="77777777" w:rsidTr="00B63814">
        <w:tc>
          <w:tcPr>
            <w:tcW w:w="9629" w:type="dxa"/>
            <w:shd w:val="clear" w:color="auto" w:fill="E5B8B7" w:themeFill="accent2" w:themeFillTint="66"/>
          </w:tcPr>
          <w:p w14:paraId="1629B790" w14:textId="77777777" w:rsidR="00B63814" w:rsidRDefault="00B63814" w:rsidP="00B63814">
            <w:pPr>
              <w:jc w:val="center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lastRenderedPageBreak/>
              <w:t>The first of change</w:t>
            </w:r>
          </w:p>
        </w:tc>
      </w:tr>
    </w:tbl>
    <w:p w14:paraId="01BCE388" w14:textId="5956F67F" w:rsidR="00C12CD4" w:rsidRDefault="00C12CD4" w:rsidP="00F62845">
      <w:pPr>
        <w:rPr>
          <w:rFonts w:eastAsia="Malgun Gothic"/>
          <w:lang w:eastAsia="ko-KR"/>
        </w:rPr>
      </w:pPr>
    </w:p>
    <w:p w14:paraId="79B18268" w14:textId="77777777" w:rsidR="00A66E43" w:rsidRPr="000F3B30" w:rsidRDefault="00A66E43" w:rsidP="00A66E43">
      <w:pPr>
        <w:pStyle w:val="Heading4"/>
        <w:rPr>
          <w:rFonts w:eastAsia="Malgun Gothic"/>
          <w:lang w:eastAsia="ko-KR"/>
        </w:rPr>
      </w:pPr>
      <w:bookmarkStart w:id="13" w:name="_Toc534933497"/>
      <w:bookmarkStart w:id="14" w:name="_Toc37296301"/>
      <w:bookmarkStart w:id="15" w:name="_Toc46490432"/>
      <w:bookmarkStart w:id="16" w:name="_Toc52752127"/>
      <w:bookmarkStart w:id="17" w:name="_Toc52796589"/>
      <w:r w:rsidRPr="000F3B30">
        <w:rPr>
          <w:rFonts w:eastAsia="Malgun Gothic"/>
          <w:lang w:eastAsia="ko-KR"/>
        </w:rPr>
        <w:t>6.1.3.24</w:t>
      </w:r>
      <w:r w:rsidRPr="000F3B30">
        <w:rPr>
          <w:rFonts w:eastAsia="Malgun Gothic"/>
          <w:lang w:eastAsia="ko-KR"/>
        </w:rPr>
        <w:tab/>
        <w:t>Enhanced TCI States Activation/Deactivation for UE-specific PDSCH MAC CE</w:t>
      </w:r>
      <w:bookmarkEnd w:id="13"/>
      <w:bookmarkEnd w:id="14"/>
      <w:bookmarkEnd w:id="15"/>
      <w:bookmarkEnd w:id="16"/>
      <w:bookmarkEnd w:id="17"/>
    </w:p>
    <w:p w14:paraId="29E4C74B" w14:textId="77777777" w:rsidR="00A66E43" w:rsidRPr="000F3B30" w:rsidRDefault="00A66E43" w:rsidP="00A66E43">
      <w:pPr>
        <w:rPr>
          <w:lang w:eastAsia="ko-KR"/>
        </w:rPr>
      </w:pPr>
      <w:r w:rsidRPr="000F3B30">
        <w:rPr>
          <w:lang w:eastAsia="ko-KR"/>
        </w:rPr>
        <w:t xml:space="preserve">The Enhanced TCI States Activation/Deactivation for UE-specific PDSCH MAC CE is identified by a MAC PDU </w:t>
      </w:r>
      <w:proofErr w:type="spellStart"/>
      <w:r w:rsidRPr="000F3B30">
        <w:rPr>
          <w:lang w:eastAsia="ko-KR"/>
        </w:rPr>
        <w:t>subheader</w:t>
      </w:r>
      <w:proofErr w:type="spellEnd"/>
      <w:r w:rsidRPr="000F3B30">
        <w:rPr>
          <w:lang w:eastAsia="ko-KR"/>
        </w:rPr>
        <w:t xml:space="preserve"> with </w:t>
      </w:r>
      <w:proofErr w:type="spellStart"/>
      <w:r w:rsidRPr="000F3B30">
        <w:rPr>
          <w:lang w:eastAsia="ko-KR"/>
        </w:rPr>
        <w:t>eLCID</w:t>
      </w:r>
      <w:proofErr w:type="spellEnd"/>
      <w:r w:rsidRPr="000F3B30">
        <w:rPr>
          <w:lang w:eastAsia="ko-KR"/>
        </w:rPr>
        <w:t xml:space="preserve"> as specified in Table 6.2.1-1b. It has a variable size consisting of following fields:</w:t>
      </w:r>
    </w:p>
    <w:p w14:paraId="48BE574C" w14:textId="3F5F73BD" w:rsidR="00A66E43" w:rsidRPr="000F3B30" w:rsidRDefault="00A66E43" w:rsidP="00A66E43">
      <w:pPr>
        <w:pStyle w:val="B1"/>
        <w:rPr>
          <w:rFonts w:eastAsia="SimSun"/>
          <w:noProof/>
          <w:lang w:eastAsia="zh-CN"/>
        </w:rPr>
      </w:pPr>
      <w:r w:rsidRPr="000F3B30">
        <w:rPr>
          <w:noProof/>
        </w:rPr>
        <w:t>-</w:t>
      </w:r>
      <w:r w:rsidRPr="000F3B30">
        <w:rPr>
          <w:noProof/>
        </w:rPr>
        <w:tab/>
        <w:t xml:space="preserve">Serving Cell ID: </w:t>
      </w:r>
      <w:r w:rsidRPr="000F3B30">
        <w:rPr>
          <w:noProof/>
          <w:lang w:eastAsia="zh-CN"/>
        </w:rPr>
        <w:t>This field indicates the identity of the Serving Cell for which the MAC CE applies. The length of the field is 5 bits</w:t>
      </w:r>
      <w:ins w:id="18" w:author="Helka-Liina Maattanen" w:date="2020-10-22T09:55:00Z">
        <w:r w:rsidR="00F7344C">
          <w:rPr>
            <w:noProof/>
            <w:lang w:eastAsia="zh-CN"/>
          </w:rPr>
          <w:t>.</w:t>
        </w:r>
      </w:ins>
      <w:del w:id="19" w:author="Helka-Liina Maattanen" w:date="2020-10-22T09:54:00Z">
        <w:r w:rsidRPr="000F3B30" w:rsidDel="00F82497">
          <w:rPr>
            <w:rFonts w:eastAsia="SimSun"/>
            <w:noProof/>
            <w:lang w:eastAsia="zh-CN"/>
          </w:rPr>
          <w:delText>;</w:delText>
        </w:r>
      </w:del>
      <w:ins w:id="20" w:author="Helka-Liina Maattanen" w:date="2020-10-21T14:15:00Z">
        <w:r>
          <w:rPr>
            <w:rFonts w:eastAsia="SimSun"/>
            <w:noProof/>
            <w:lang w:eastAsia="zh-CN"/>
          </w:rPr>
          <w:t xml:space="preserve"> </w:t>
        </w:r>
      </w:ins>
      <w:commentRangeStart w:id="21"/>
      <w:ins w:id="22" w:author="Helka-Liina Maattanen" w:date="2020-11-04T11:35:00Z">
        <w:r w:rsidR="00944D2A">
          <w:t xml:space="preserve">If the UE has indicated to support the feature </w:t>
        </w:r>
        <w:commentRangeEnd w:id="21"/>
        <w:r w:rsidR="00944D2A">
          <w:rPr>
            <w:rStyle w:val="CommentReference"/>
          </w:rPr>
          <w:commentReference w:id="21"/>
        </w:r>
        <w:r w:rsidR="00944D2A">
          <w:t xml:space="preserve">and </w:t>
        </w:r>
        <w:r w:rsidR="00944D2A">
          <w:rPr>
            <w:rFonts w:eastAsia="SimSun"/>
            <w:noProof/>
            <w:lang w:eastAsia="zh-CN"/>
          </w:rPr>
          <w:t>i</w:t>
        </w:r>
      </w:ins>
      <w:ins w:id="23" w:author="Helka-Liina Maattanen" w:date="2020-10-21T14:15:00Z">
        <w:r w:rsidRPr="00A66E43">
          <w:rPr>
            <w:rFonts w:eastAsia="SimSun"/>
            <w:noProof/>
            <w:lang w:eastAsia="zh-CN"/>
          </w:rPr>
          <w:t xml:space="preserve">f the indicated Serving Cell is configured as part of a </w:t>
        </w:r>
        <w:r w:rsidRPr="00495E24">
          <w:rPr>
            <w:rFonts w:eastAsia="SimSun"/>
            <w:i/>
            <w:iCs/>
            <w:noProof/>
            <w:lang w:eastAsia="zh-CN"/>
          </w:rPr>
          <w:t>simultaneousTCI-UpdateList1</w:t>
        </w:r>
        <w:r w:rsidRPr="00A66E43">
          <w:rPr>
            <w:rFonts w:eastAsia="SimSun"/>
            <w:noProof/>
            <w:lang w:eastAsia="zh-CN"/>
          </w:rPr>
          <w:t xml:space="preserve"> or </w:t>
        </w:r>
        <w:r w:rsidRPr="008820FB">
          <w:rPr>
            <w:rFonts w:eastAsia="SimSun"/>
            <w:i/>
            <w:iCs/>
            <w:noProof/>
            <w:lang w:eastAsia="zh-CN"/>
          </w:rPr>
          <w:t>simultaneousTCI-UpdateList2</w:t>
        </w:r>
        <w:r w:rsidRPr="00A66E43">
          <w:rPr>
            <w:rFonts w:eastAsia="SimSun"/>
            <w:noProof/>
            <w:lang w:eastAsia="zh-CN"/>
          </w:rPr>
          <w:t xml:space="preserve"> as specified in TS 38.331 [5], this MAC CE applies to all the Serving Cells configured in the set </w:t>
        </w:r>
        <w:r w:rsidRPr="00495E24">
          <w:rPr>
            <w:rFonts w:eastAsia="SimSun"/>
            <w:i/>
            <w:iCs/>
            <w:noProof/>
            <w:lang w:eastAsia="zh-CN"/>
          </w:rPr>
          <w:t>simultaneousTCI-UpdateList1</w:t>
        </w:r>
        <w:r w:rsidRPr="00A66E43">
          <w:rPr>
            <w:rFonts w:eastAsia="SimSun"/>
            <w:noProof/>
            <w:lang w:eastAsia="zh-CN"/>
          </w:rPr>
          <w:t xml:space="preserve"> or </w:t>
        </w:r>
        <w:r w:rsidRPr="00495E24">
          <w:rPr>
            <w:rFonts w:eastAsia="SimSun"/>
            <w:i/>
            <w:iCs/>
            <w:noProof/>
            <w:lang w:eastAsia="zh-CN"/>
          </w:rPr>
          <w:t>simultaneousTCI-UpdateList2</w:t>
        </w:r>
        <w:r w:rsidRPr="00A66E43">
          <w:rPr>
            <w:rFonts w:eastAsia="SimSun"/>
            <w:noProof/>
            <w:lang w:eastAsia="zh-CN"/>
          </w:rPr>
          <w:t>, respectively;</w:t>
        </w:r>
      </w:ins>
    </w:p>
    <w:p w14:paraId="4927CA49" w14:textId="77777777" w:rsidR="00A66E43" w:rsidRPr="000F3B30" w:rsidRDefault="00A66E43" w:rsidP="00A66E43">
      <w:pPr>
        <w:pStyle w:val="B1"/>
        <w:rPr>
          <w:noProof/>
        </w:rPr>
      </w:pPr>
      <w:r w:rsidRPr="000F3B30">
        <w:rPr>
          <w:noProof/>
        </w:rPr>
        <w:t>-</w:t>
      </w:r>
      <w:r w:rsidRPr="000F3B30">
        <w:rPr>
          <w:noProof/>
        </w:rPr>
        <w:tab/>
        <w:t xml:space="preserve">BWP ID: This field indicates a DL BWP </w:t>
      </w:r>
      <w:r w:rsidRPr="000F3B30">
        <w:rPr>
          <w:noProof/>
          <w:lang w:eastAsia="zh-CN"/>
        </w:rPr>
        <w:t xml:space="preserve">for which the MAC CE applies as the codepoint of the DCI </w:t>
      </w:r>
      <w:r w:rsidRPr="000F3B30">
        <w:rPr>
          <w:i/>
          <w:noProof/>
          <w:lang w:eastAsia="zh-CN"/>
        </w:rPr>
        <w:t>bandwidth part indicator</w:t>
      </w:r>
      <w:r w:rsidRPr="000F3B30">
        <w:rPr>
          <w:noProof/>
          <w:lang w:eastAsia="zh-CN"/>
        </w:rPr>
        <w:t xml:space="preserve"> field as specified in TS 38.212 [9]</w:t>
      </w:r>
      <w:r w:rsidRPr="000F3B30">
        <w:rPr>
          <w:noProof/>
        </w:rPr>
        <w:t>. The length of the BWP ID field is 2 bits;</w:t>
      </w:r>
    </w:p>
    <w:p w14:paraId="16883DE5" w14:textId="77777777" w:rsidR="00A66E43" w:rsidRPr="000F3B30" w:rsidRDefault="00A66E43" w:rsidP="00A66E43">
      <w:pPr>
        <w:pStyle w:val="B1"/>
        <w:rPr>
          <w:noProof/>
        </w:rPr>
      </w:pPr>
      <w:r w:rsidRPr="000F3B30">
        <w:rPr>
          <w:noProof/>
        </w:rPr>
        <w:t>-</w:t>
      </w:r>
      <w:r w:rsidRPr="000F3B30">
        <w:rPr>
          <w:noProof/>
        </w:rPr>
        <w:tab/>
        <w:t>C</w:t>
      </w:r>
      <w:r w:rsidRPr="000F3B30">
        <w:rPr>
          <w:noProof/>
          <w:vertAlign w:val="subscript"/>
        </w:rPr>
        <w:t>i</w:t>
      </w:r>
      <w:r w:rsidRPr="000F3B30">
        <w:rPr>
          <w:noProof/>
        </w:rPr>
        <w:t>: This field indicates whether the octet containing TCI state ID</w:t>
      </w:r>
      <w:r w:rsidRPr="000F3B30">
        <w:rPr>
          <w:noProof/>
          <w:vertAlign w:val="subscript"/>
        </w:rPr>
        <w:t>i,2</w:t>
      </w:r>
      <w:r w:rsidRPr="000F3B30">
        <w:rPr>
          <w:noProof/>
        </w:rPr>
        <w:t xml:space="preserve"> is present. If this field is set to "1", the octet containing TCI state ID</w:t>
      </w:r>
      <w:r w:rsidRPr="000F3B30">
        <w:rPr>
          <w:noProof/>
          <w:vertAlign w:val="subscript"/>
        </w:rPr>
        <w:t>i,2</w:t>
      </w:r>
      <w:r w:rsidRPr="000F3B30">
        <w:rPr>
          <w:noProof/>
        </w:rPr>
        <w:t xml:space="preserve"> is present. If this field is set to "0", the octet containing TCI state ID</w:t>
      </w:r>
      <w:r w:rsidRPr="000F3B30">
        <w:rPr>
          <w:noProof/>
          <w:vertAlign w:val="subscript"/>
        </w:rPr>
        <w:t>i,2</w:t>
      </w:r>
      <w:r w:rsidRPr="000F3B30">
        <w:rPr>
          <w:noProof/>
        </w:rPr>
        <w:t xml:space="preserve"> is not present;</w:t>
      </w:r>
    </w:p>
    <w:p w14:paraId="03BB38D6" w14:textId="77777777" w:rsidR="00A66E43" w:rsidRPr="000F3B30" w:rsidRDefault="00A66E43" w:rsidP="00A66E43">
      <w:pPr>
        <w:pStyle w:val="B1"/>
        <w:rPr>
          <w:noProof/>
          <w:lang w:eastAsia="ko-KR"/>
        </w:rPr>
      </w:pPr>
      <w:r w:rsidRPr="000F3B30">
        <w:rPr>
          <w:noProof/>
          <w:lang w:eastAsia="ko-KR"/>
        </w:rPr>
        <w:t>-</w:t>
      </w:r>
      <w:r w:rsidRPr="000F3B30">
        <w:rPr>
          <w:noProof/>
          <w:lang w:eastAsia="ko-KR"/>
        </w:rPr>
        <w:tab/>
      </w:r>
      <w:r w:rsidRPr="000F3B30">
        <w:rPr>
          <w:noProof/>
        </w:rPr>
        <w:t>TCI state ID</w:t>
      </w:r>
      <w:r w:rsidRPr="000F3B30">
        <w:rPr>
          <w:noProof/>
          <w:vertAlign w:val="subscript"/>
        </w:rPr>
        <w:t>i,j</w:t>
      </w:r>
      <w:r w:rsidRPr="000F3B30">
        <w:rPr>
          <w:noProof/>
        </w:rPr>
        <w:t xml:space="preserve">: This field indicates the TCI state identified by </w:t>
      </w:r>
      <w:r w:rsidRPr="000F3B30">
        <w:rPr>
          <w:i/>
        </w:rPr>
        <w:t>TCI-</w:t>
      </w:r>
      <w:proofErr w:type="spellStart"/>
      <w:r w:rsidRPr="000F3B30">
        <w:rPr>
          <w:i/>
        </w:rPr>
        <w:t>StateId</w:t>
      </w:r>
      <w:proofErr w:type="spellEnd"/>
      <w:r w:rsidRPr="000F3B30">
        <w:t xml:space="preserve"> </w:t>
      </w:r>
      <w:r w:rsidRPr="000F3B30">
        <w:rPr>
          <w:noProof/>
        </w:rPr>
        <w:t xml:space="preserve">as specified in </w:t>
      </w:r>
      <w:r w:rsidRPr="000F3B30">
        <w:rPr>
          <w:lang w:eastAsia="ko-KR"/>
        </w:rPr>
        <w:t xml:space="preserve">TS 38.331 [5], </w:t>
      </w:r>
      <w:r w:rsidRPr="000F3B30">
        <w:rPr>
          <w:noProof/>
        </w:rPr>
        <w:t xml:space="preserve">where i is the index of </w:t>
      </w:r>
      <w:r w:rsidRPr="000F3B30">
        <w:rPr>
          <w:lang w:eastAsia="ko-KR"/>
        </w:rPr>
        <w:t xml:space="preserve">the codepoint of the DCI </w:t>
      </w:r>
      <w:r w:rsidRPr="000F3B30">
        <w:rPr>
          <w:i/>
          <w:lang w:eastAsia="zh-CN"/>
        </w:rPr>
        <w:t>Transmission configuration indication</w:t>
      </w:r>
      <w:r w:rsidRPr="000F3B30">
        <w:rPr>
          <w:lang w:eastAsia="ko-KR"/>
        </w:rPr>
        <w:t xml:space="preserve"> field</w:t>
      </w:r>
      <w:r w:rsidRPr="000F3B30">
        <w:rPr>
          <w:noProof/>
        </w:rPr>
        <w:t xml:space="preserve"> </w:t>
      </w:r>
      <w:r w:rsidRPr="000F3B30">
        <w:rPr>
          <w:noProof/>
          <w:lang w:eastAsia="zh-CN"/>
        </w:rPr>
        <w:t>as specified in TS 38.212 [9</w:t>
      </w:r>
      <w:r w:rsidRPr="000F3B30">
        <w:rPr>
          <w:noProof/>
        </w:rPr>
        <w:t>] and TCI state ID</w:t>
      </w:r>
      <w:r w:rsidRPr="000F3B30">
        <w:rPr>
          <w:noProof/>
          <w:vertAlign w:val="subscript"/>
        </w:rPr>
        <w:t>i,j</w:t>
      </w:r>
      <w:r w:rsidRPr="000F3B30">
        <w:rPr>
          <w:noProof/>
        </w:rPr>
        <w:t xml:space="preserve"> denotes the j</w:t>
      </w:r>
      <w:r w:rsidRPr="000F3B30">
        <w:rPr>
          <w:noProof/>
          <w:vertAlign w:val="superscript"/>
        </w:rPr>
        <w:t>th</w:t>
      </w:r>
      <w:r w:rsidRPr="000F3B30">
        <w:rPr>
          <w:noProof/>
        </w:rPr>
        <w:t xml:space="preserve"> TCI state indicated for the i</w:t>
      </w:r>
      <w:r w:rsidRPr="000F3B30">
        <w:rPr>
          <w:noProof/>
          <w:vertAlign w:val="superscript"/>
        </w:rPr>
        <w:t>th</w:t>
      </w:r>
      <w:r w:rsidRPr="000F3B30">
        <w:rPr>
          <w:noProof/>
        </w:rPr>
        <w:t xml:space="preserve"> codepoint in the DCI </w:t>
      </w:r>
      <w:r w:rsidRPr="000F3B30">
        <w:rPr>
          <w:i/>
          <w:noProof/>
        </w:rPr>
        <w:t>Transmission Configuration Indication</w:t>
      </w:r>
      <w:r w:rsidRPr="000F3B30">
        <w:rPr>
          <w:noProof/>
        </w:rPr>
        <w:t xml:space="preserve"> field</w:t>
      </w:r>
      <w:r w:rsidRPr="000F3B30">
        <w:rPr>
          <w:noProof/>
          <w:lang w:eastAsia="ko-KR"/>
        </w:rPr>
        <w:t xml:space="preserve">. </w:t>
      </w:r>
      <w:r w:rsidRPr="000F3B30">
        <w:rPr>
          <w:lang w:eastAsia="ko-KR"/>
        </w:rPr>
        <w:t xml:space="preserve">The TCI codepoint to which the </w:t>
      </w:r>
      <w:r w:rsidRPr="000F3B30">
        <w:rPr>
          <w:noProof/>
        </w:rPr>
        <w:t>TCI States are</w:t>
      </w:r>
      <w:r w:rsidRPr="000F3B30">
        <w:rPr>
          <w:lang w:eastAsia="ko-KR"/>
        </w:rPr>
        <w:t xml:space="preserve"> mapped is determined by its ordinal position among all the TCI </w:t>
      </w:r>
      <w:r w:rsidRPr="000F3B30">
        <w:rPr>
          <w:noProof/>
        </w:rPr>
        <w:t>codepoints with</w:t>
      </w:r>
      <w:r w:rsidRPr="000F3B30">
        <w:rPr>
          <w:lang w:eastAsia="ko-KR"/>
        </w:rPr>
        <w:t xml:space="preserve"> sets of </w:t>
      </w:r>
      <w:r w:rsidRPr="000F3B30">
        <w:rPr>
          <w:noProof/>
        </w:rPr>
        <w:t>TCI state ID</w:t>
      </w:r>
      <w:r w:rsidRPr="000F3B30">
        <w:rPr>
          <w:noProof/>
          <w:vertAlign w:val="subscript"/>
        </w:rPr>
        <w:t>i,j</w:t>
      </w:r>
      <w:r w:rsidRPr="000F3B30">
        <w:rPr>
          <w:lang w:eastAsia="ko-KR"/>
        </w:rPr>
        <w:t xml:space="preserve"> fields, i.e. the first TCI </w:t>
      </w:r>
      <w:r w:rsidRPr="000F3B30">
        <w:rPr>
          <w:noProof/>
        </w:rPr>
        <w:t xml:space="preserve">codepoint </w:t>
      </w:r>
      <w:r w:rsidRPr="000F3B30">
        <w:rPr>
          <w:lang w:eastAsia="ko-KR"/>
        </w:rPr>
        <w:t xml:space="preserve">with </w:t>
      </w:r>
      <w:r w:rsidRPr="000F3B30">
        <w:rPr>
          <w:noProof/>
        </w:rPr>
        <w:t>TCI state ID</w:t>
      </w:r>
      <w:r w:rsidRPr="000F3B30">
        <w:rPr>
          <w:noProof/>
          <w:vertAlign w:val="subscript"/>
        </w:rPr>
        <w:t>0,1</w:t>
      </w:r>
      <w:r w:rsidRPr="000F3B30">
        <w:rPr>
          <w:lang w:eastAsia="ko-KR"/>
        </w:rPr>
        <w:t xml:space="preserve"> and </w:t>
      </w:r>
      <w:r w:rsidRPr="000F3B30">
        <w:rPr>
          <w:noProof/>
        </w:rPr>
        <w:t>TCI state ID</w:t>
      </w:r>
      <w:r w:rsidRPr="000F3B30">
        <w:rPr>
          <w:noProof/>
          <w:vertAlign w:val="subscript"/>
        </w:rPr>
        <w:t>0,2</w:t>
      </w:r>
      <w:r w:rsidRPr="000F3B30">
        <w:rPr>
          <w:lang w:eastAsia="ko-KR"/>
        </w:rPr>
        <w:t xml:space="preserve"> shall be mapped to the codepoint value 0, the second </w:t>
      </w:r>
      <w:r w:rsidRPr="000F3B30">
        <w:rPr>
          <w:noProof/>
        </w:rPr>
        <w:t xml:space="preserve">TCI codepoint </w:t>
      </w:r>
      <w:r w:rsidRPr="000F3B30">
        <w:rPr>
          <w:lang w:eastAsia="ko-KR"/>
        </w:rPr>
        <w:t xml:space="preserve">with </w:t>
      </w:r>
      <w:r w:rsidRPr="000F3B30">
        <w:rPr>
          <w:noProof/>
        </w:rPr>
        <w:t>TCI state ID</w:t>
      </w:r>
      <w:r w:rsidRPr="000F3B30">
        <w:rPr>
          <w:noProof/>
          <w:vertAlign w:val="subscript"/>
        </w:rPr>
        <w:t>1,1</w:t>
      </w:r>
      <w:r w:rsidRPr="000F3B30">
        <w:rPr>
          <w:lang w:eastAsia="ko-KR"/>
        </w:rPr>
        <w:t xml:space="preserve"> and </w:t>
      </w:r>
      <w:r w:rsidRPr="000F3B30">
        <w:rPr>
          <w:noProof/>
        </w:rPr>
        <w:t>TCI state ID</w:t>
      </w:r>
      <w:r w:rsidRPr="000F3B30">
        <w:rPr>
          <w:noProof/>
          <w:vertAlign w:val="subscript"/>
        </w:rPr>
        <w:t>1,2</w:t>
      </w:r>
      <w:r w:rsidRPr="000F3B30">
        <w:rPr>
          <w:lang w:eastAsia="ko-KR"/>
        </w:rPr>
        <w:t xml:space="preserve"> shall be mapped to the codepoint value 1 and so on. The </w:t>
      </w:r>
      <w:r w:rsidRPr="000F3B30">
        <w:rPr>
          <w:noProof/>
        </w:rPr>
        <w:t>TCI state ID</w:t>
      </w:r>
      <w:r w:rsidRPr="000F3B30">
        <w:rPr>
          <w:noProof/>
          <w:vertAlign w:val="subscript"/>
        </w:rPr>
        <w:t>i,2</w:t>
      </w:r>
      <w:r w:rsidRPr="000F3B30">
        <w:rPr>
          <w:lang w:eastAsia="ko-KR"/>
        </w:rPr>
        <w:t xml:space="preserve"> is optional based on the indication of the C</w:t>
      </w:r>
      <w:r w:rsidRPr="000F3B30">
        <w:rPr>
          <w:vertAlign w:val="subscript"/>
          <w:lang w:eastAsia="ko-KR"/>
        </w:rPr>
        <w:t>i</w:t>
      </w:r>
      <w:r w:rsidRPr="000F3B30">
        <w:rPr>
          <w:lang w:eastAsia="ko-KR"/>
        </w:rPr>
        <w:t xml:space="preserve"> field.</w:t>
      </w:r>
      <w:r w:rsidRPr="000F3B30">
        <w:rPr>
          <w:noProof/>
          <w:lang w:eastAsia="ko-KR"/>
        </w:rPr>
        <w:t xml:space="preserve"> The maximum number of activated TCI codepoint is 8 and the maximum number of TCI states mapped to a TCI codepoint is 2.</w:t>
      </w:r>
    </w:p>
    <w:p w14:paraId="40801786" w14:textId="77777777" w:rsidR="00A66E43" w:rsidRPr="000F3B30" w:rsidRDefault="00A66E43" w:rsidP="00A66E43">
      <w:pPr>
        <w:pStyle w:val="B1"/>
        <w:rPr>
          <w:lang w:eastAsia="ko-KR"/>
        </w:rPr>
      </w:pPr>
      <w:r w:rsidRPr="000F3B30">
        <w:rPr>
          <w:lang w:eastAsia="ko-KR"/>
        </w:rPr>
        <w:t>-</w:t>
      </w:r>
      <w:r w:rsidRPr="000F3B30">
        <w:rPr>
          <w:lang w:eastAsia="ko-KR"/>
        </w:rPr>
        <w:tab/>
        <w:t>R: Reserved bit, set to "0".</w:t>
      </w:r>
    </w:p>
    <w:p w14:paraId="0D1348D9" w14:textId="77777777" w:rsidR="00A66E43" w:rsidRPr="000F3B30" w:rsidRDefault="00A66E43" w:rsidP="00A66E43">
      <w:pPr>
        <w:pStyle w:val="TH"/>
        <w:ind w:firstLine="440"/>
      </w:pPr>
      <w:r w:rsidRPr="000F3B30">
        <w:object w:dxaOrig="5700" w:dyaOrig="3856" w14:anchorId="7AF3E5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5pt;height:193.5pt" o:ole="">
            <v:imagedata r:id="rId24" o:title=""/>
          </v:shape>
          <o:OLEObject Type="Embed" ProgID="Visio.Drawing.15" ShapeID="_x0000_i1025" DrawAspect="Content" ObjectID="_1665994922" r:id="rId25"/>
        </w:object>
      </w:r>
    </w:p>
    <w:p w14:paraId="37DE6627" w14:textId="77777777" w:rsidR="00A66E43" w:rsidRPr="000F3B30" w:rsidRDefault="00A66E43" w:rsidP="00A66E43">
      <w:pPr>
        <w:pStyle w:val="TF"/>
        <w:rPr>
          <w:lang w:eastAsia="ko-KR"/>
        </w:rPr>
      </w:pPr>
      <w:r w:rsidRPr="000F3B30">
        <w:rPr>
          <w:noProof/>
          <w:lang w:eastAsia="ko-KR"/>
        </w:rPr>
        <w:t xml:space="preserve">Figure 6.1.3.24-1: Enhanced </w:t>
      </w:r>
      <w:r w:rsidRPr="000F3B30">
        <w:rPr>
          <w:lang w:eastAsia="ko-KR"/>
        </w:rPr>
        <w:t>TCI States Activation/Deactivation for UE-specific PDSCH MAC CE</w:t>
      </w:r>
    </w:p>
    <w:p w14:paraId="783B3FF9" w14:textId="14122B7F" w:rsidR="00F668FF" w:rsidRDefault="00F668FF" w:rsidP="00F62845">
      <w:pPr>
        <w:rPr>
          <w:rFonts w:eastAsia="Malgun Gothic"/>
          <w:lang w:eastAsia="ko-KR"/>
        </w:rPr>
      </w:pPr>
    </w:p>
    <w:p w14:paraId="181B5A51" w14:textId="6C648B39" w:rsidR="00F668FF" w:rsidRDefault="00F668FF" w:rsidP="00F62845">
      <w:pPr>
        <w:rPr>
          <w:rFonts w:eastAsia="Malgun Gothic"/>
          <w:lang w:eastAsia="ko-KR"/>
        </w:rPr>
      </w:pPr>
    </w:p>
    <w:p w14:paraId="683DF394" w14:textId="77777777" w:rsidR="00F668FF" w:rsidRPr="00136AD2" w:rsidRDefault="00F668FF" w:rsidP="00F62845">
      <w:pPr>
        <w:rPr>
          <w:rFonts w:eastAsia="Malgun Gothic"/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47B5F" w14:paraId="0E9FBCCE" w14:textId="77777777" w:rsidTr="00DB027D">
        <w:tc>
          <w:tcPr>
            <w:tcW w:w="9629" w:type="dxa"/>
            <w:shd w:val="clear" w:color="auto" w:fill="E5B8B7" w:themeFill="accent2" w:themeFillTint="66"/>
          </w:tcPr>
          <w:p w14:paraId="4671964C" w14:textId="77777777" w:rsidR="00A47B5F" w:rsidRDefault="00A47B5F" w:rsidP="00DB027D">
            <w:pPr>
              <w:jc w:val="center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end of change</w:t>
            </w:r>
          </w:p>
        </w:tc>
      </w:tr>
    </w:tbl>
    <w:p w14:paraId="211AD120" w14:textId="77777777" w:rsidR="00A47B5F" w:rsidRDefault="00A47B5F" w:rsidP="00D06715">
      <w:pPr>
        <w:rPr>
          <w:noProof/>
        </w:rPr>
      </w:pPr>
    </w:p>
    <w:sectPr w:rsidR="00A47B5F" w:rsidSect="00C945F8">
      <w:headerReference w:type="even" r:id="rId26"/>
      <w:headerReference w:type="default" r:id="rId27"/>
      <w:headerReference w:type="first" r:id="rId2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6" w:author="Helka-Liina Maattanen" w:date="2020-11-04T11:35:00Z" w:initials="HM">
    <w:p w14:paraId="523AD93E" w14:textId="2399C576" w:rsidR="00944D2A" w:rsidRDefault="00944D2A">
      <w:pPr>
        <w:pStyle w:val="CommentText"/>
      </w:pPr>
      <w:r>
        <w:rPr>
          <w:rStyle w:val="CommentReference"/>
        </w:rPr>
        <w:annotationRef/>
      </w:r>
      <w:r>
        <w:t>I assume we need to revise when we know the parameter name</w:t>
      </w:r>
      <w:bookmarkStart w:id="9" w:name="_GoBack"/>
      <w:bookmarkEnd w:id="9"/>
    </w:p>
  </w:comment>
  <w:comment w:id="21" w:author="Helka-Liina Maattanen" w:date="2020-11-04T11:35:00Z" w:initials="HM">
    <w:p w14:paraId="19D7854F" w14:textId="25360C01" w:rsidR="00944D2A" w:rsidRDefault="00944D2A">
      <w:pPr>
        <w:pStyle w:val="CommentText"/>
      </w:pPr>
      <w:r>
        <w:rPr>
          <w:rStyle w:val="CommentReference"/>
        </w:rPr>
        <w:annotationRef/>
      </w:r>
      <w:r>
        <w:t>I assume we need to revise when we know the parameter name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23AD93E" w15:done="0"/>
  <w15:commentEx w15:paraId="19D7854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23AD93E" w16cid:durableId="234D1092"/>
  <w16cid:commentId w16cid:paraId="19D7854F" w16cid:durableId="234D1078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B1E95" w14:textId="77777777" w:rsidR="003E35C2" w:rsidRDefault="003E35C2">
      <w:r>
        <w:separator/>
      </w:r>
    </w:p>
  </w:endnote>
  <w:endnote w:type="continuationSeparator" w:id="0">
    <w:p w14:paraId="4AD91BD7" w14:textId="77777777" w:rsidR="003E35C2" w:rsidRDefault="003E35C2">
      <w:r>
        <w:continuationSeparator/>
      </w:r>
    </w:p>
  </w:endnote>
  <w:endnote w:type="continuationNotice" w:id="1">
    <w:p w14:paraId="5B7EAC7A" w14:textId="77777777" w:rsidR="003E35C2" w:rsidRDefault="003E35C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07AA8" w14:textId="77777777" w:rsidR="00783D9D" w:rsidRDefault="00783D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F7A00" w14:textId="77777777" w:rsidR="00783D9D" w:rsidRDefault="00783D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DE99A" w14:textId="77777777" w:rsidR="00783D9D" w:rsidRDefault="00783D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9A99C" w14:textId="77777777" w:rsidR="003E35C2" w:rsidRDefault="003E35C2">
      <w:r>
        <w:separator/>
      </w:r>
    </w:p>
  </w:footnote>
  <w:footnote w:type="continuationSeparator" w:id="0">
    <w:p w14:paraId="6CD07253" w14:textId="77777777" w:rsidR="003E35C2" w:rsidRDefault="003E35C2">
      <w:r>
        <w:continuationSeparator/>
      </w:r>
    </w:p>
  </w:footnote>
  <w:footnote w:type="continuationNotice" w:id="1">
    <w:p w14:paraId="17C3B529" w14:textId="77777777" w:rsidR="003E35C2" w:rsidRDefault="003E35C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13892" w14:textId="77777777" w:rsidR="00C448EB" w:rsidRDefault="00C448E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E3A90" w14:textId="77777777" w:rsidR="00783D9D" w:rsidRDefault="00783D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84346" w14:textId="77777777" w:rsidR="00783D9D" w:rsidRDefault="00783D9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0990C" w14:textId="77777777" w:rsidR="00C448EB" w:rsidRDefault="00C448E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536FD" w14:textId="77777777" w:rsidR="00C448EB" w:rsidRDefault="00C448EB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E9D87" w14:textId="77777777" w:rsidR="00C448EB" w:rsidRDefault="00C448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17DCAB0E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1" w15:restartNumberingAfterBreak="0">
    <w:nsid w:val="FFFFFF80"/>
    <w:multiLevelType w:val="singleLevel"/>
    <w:tmpl w:val="E684DDBA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1"/>
    <w:multiLevelType w:val="singleLevel"/>
    <w:tmpl w:val="27428EF2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2"/>
    <w:multiLevelType w:val="singleLevel"/>
    <w:tmpl w:val="3570936C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3"/>
    <w:multiLevelType w:val="singleLevel"/>
    <w:tmpl w:val="B33A5962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8"/>
    <w:multiLevelType w:val="singleLevel"/>
    <w:tmpl w:val="BC8CE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6" w15:restartNumberingAfterBreak="0">
    <w:nsid w:val="FFFFFF89"/>
    <w:multiLevelType w:val="singleLevel"/>
    <w:tmpl w:val="0658BDA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01FD72D0"/>
    <w:multiLevelType w:val="hybridMultilevel"/>
    <w:tmpl w:val="D5023838"/>
    <w:lvl w:ilvl="0" w:tplc="6F046BE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8" w15:restartNumberingAfterBreak="0">
    <w:nsid w:val="1E5E3DE0"/>
    <w:multiLevelType w:val="hybridMultilevel"/>
    <w:tmpl w:val="D3969FF4"/>
    <w:lvl w:ilvl="0" w:tplc="AEB0227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9" w15:restartNumberingAfterBreak="0">
    <w:nsid w:val="3DE24C2D"/>
    <w:multiLevelType w:val="hybridMultilevel"/>
    <w:tmpl w:val="864EC19E"/>
    <w:lvl w:ilvl="0" w:tplc="885CA7A8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5101505E"/>
    <w:multiLevelType w:val="hybridMultilevel"/>
    <w:tmpl w:val="2A764356"/>
    <w:lvl w:ilvl="0" w:tplc="B324F08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77A2F"/>
    <w:multiLevelType w:val="hybridMultilevel"/>
    <w:tmpl w:val="8CC0226E"/>
    <w:lvl w:ilvl="0" w:tplc="3D72A7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00" w:hanging="420"/>
      </w:pPr>
    </w:lvl>
    <w:lvl w:ilvl="2" w:tplc="0409001B" w:tentative="1">
      <w:start w:val="1"/>
      <w:numFmt w:val="lowerRoman"/>
      <w:lvlText w:val="%3."/>
      <w:lvlJc w:val="right"/>
      <w:pPr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ind w:left="1740" w:hanging="420"/>
      </w:pPr>
    </w:lvl>
    <w:lvl w:ilvl="4" w:tplc="04090019" w:tentative="1">
      <w:start w:val="1"/>
      <w:numFmt w:val="lowerLetter"/>
      <w:lvlText w:val="%5)"/>
      <w:lvlJc w:val="left"/>
      <w:pPr>
        <w:ind w:left="2160" w:hanging="420"/>
      </w:pPr>
    </w:lvl>
    <w:lvl w:ilvl="5" w:tplc="0409001B" w:tentative="1">
      <w:start w:val="1"/>
      <w:numFmt w:val="lowerRoman"/>
      <w:lvlText w:val="%6."/>
      <w:lvlJc w:val="right"/>
      <w:pPr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ind w:left="3000" w:hanging="420"/>
      </w:pPr>
    </w:lvl>
    <w:lvl w:ilvl="7" w:tplc="04090019" w:tentative="1">
      <w:start w:val="1"/>
      <w:numFmt w:val="lowerLetter"/>
      <w:lvlText w:val="%8)"/>
      <w:lvlJc w:val="left"/>
      <w:pPr>
        <w:ind w:left="3420" w:hanging="420"/>
      </w:pPr>
    </w:lvl>
    <w:lvl w:ilvl="8" w:tplc="0409001B" w:tentative="1">
      <w:start w:val="1"/>
      <w:numFmt w:val="lowerRoman"/>
      <w:lvlText w:val="%9."/>
      <w:lvlJc w:val="right"/>
      <w:pPr>
        <w:ind w:left="3840" w:hanging="42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elka-Liina Maattanen">
    <w15:presenceInfo w15:providerId="AD" w15:userId="S::helka-liina.maattanen@ericsson.com::e26ee464-0f99-4fcb-98a1-6a2284a7ccf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0NTa0NDI1MDYzszRR0lEKTi0uzszPAykwrAUAE5CdNSwAAAA="/>
  </w:docVars>
  <w:rsids>
    <w:rsidRoot w:val="00022E4A"/>
    <w:rsid w:val="000036D5"/>
    <w:rsid w:val="00010ADE"/>
    <w:rsid w:val="00022574"/>
    <w:rsid w:val="00022E4A"/>
    <w:rsid w:val="00045793"/>
    <w:rsid w:val="00053599"/>
    <w:rsid w:val="00061699"/>
    <w:rsid w:val="0007057B"/>
    <w:rsid w:val="00070B44"/>
    <w:rsid w:val="00074BAE"/>
    <w:rsid w:val="00083F94"/>
    <w:rsid w:val="0009158E"/>
    <w:rsid w:val="000933BE"/>
    <w:rsid w:val="0009385E"/>
    <w:rsid w:val="0009593F"/>
    <w:rsid w:val="000A6394"/>
    <w:rsid w:val="000B7FED"/>
    <w:rsid w:val="000C038A"/>
    <w:rsid w:val="000C09A1"/>
    <w:rsid w:val="000C6598"/>
    <w:rsid w:val="000D225D"/>
    <w:rsid w:val="000E1CA8"/>
    <w:rsid w:val="000E537B"/>
    <w:rsid w:val="000E63E7"/>
    <w:rsid w:val="000F4F03"/>
    <w:rsid w:val="000F70E8"/>
    <w:rsid w:val="00103349"/>
    <w:rsid w:val="00136AD2"/>
    <w:rsid w:val="00145D43"/>
    <w:rsid w:val="00154B94"/>
    <w:rsid w:val="00160662"/>
    <w:rsid w:val="00172FED"/>
    <w:rsid w:val="001747B6"/>
    <w:rsid w:val="00192C46"/>
    <w:rsid w:val="001A08B3"/>
    <w:rsid w:val="001A7B60"/>
    <w:rsid w:val="001B52F0"/>
    <w:rsid w:val="001B7A65"/>
    <w:rsid w:val="001C0ECB"/>
    <w:rsid w:val="001E41F3"/>
    <w:rsid w:val="001F19AE"/>
    <w:rsid w:val="001F601E"/>
    <w:rsid w:val="00236B4D"/>
    <w:rsid w:val="00255FD0"/>
    <w:rsid w:val="0026004D"/>
    <w:rsid w:val="002640DD"/>
    <w:rsid w:val="00275D12"/>
    <w:rsid w:val="002771A4"/>
    <w:rsid w:val="00280F33"/>
    <w:rsid w:val="00284FEB"/>
    <w:rsid w:val="002860C4"/>
    <w:rsid w:val="002952AD"/>
    <w:rsid w:val="002A0C02"/>
    <w:rsid w:val="002A4F3F"/>
    <w:rsid w:val="002B2CD7"/>
    <w:rsid w:val="002B4FA3"/>
    <w:rsid w:val="002B5741"/>
    <w:rsid w:val="002C20A9"/>
    <w:rsid w:val="002C7BB5"/>
    <w:rsid w:val="002D33A3"/>
    <w:rsid w:val="002F5FEB"/>
    <w:rsid w:val="00305409"/>
    <w:rsid w:val="00334CAA"/>
    <w:rsid w:val="00341AA6"/>
    <w:rsid w:val="00353545"/>
    <w:rsid w:val="003609EF"/>
    <w:rsid w:val="0036231A"/>
    <w:rsid w:val="00374DD4"/>
    <w:rsid w:val="00385269"/>
    <w:rsid w:val="003872A1"/>
    <w:rsid w:val="00391732"/>
    <w:rsid w:val="003A6CB3"/>
    <w:rsid w:val="003A7B10"/>
    <w:rsid w:val="003C61D9"/>
    <w:rsid w:val="003D4531"/>
    <w:rsid w:val="003E1A36"/>
    <w:rsid w:val="003E35C2"/>
    <w:rsid w:val="003F7A92"/>
    <w:rsid w:val="00410371"/>
    <w:rsid w:val="004242F1"/>
    <w:rsid w:val="00440D75"/>
    <w:rsid w:val="00441A9D"/>
    <w:rsid w:val="004519EE"/>
    <w:rsid w:val="00454D48"/>
    <w:rsid w:val="00457B42"/>
    <w:rsid w:val="00461345"/>
    <w:rsid w:val="00470E8E"/>
    <w:rsid w:val="00483BB7"/>
    <w:rsid w:val="00490CA7"/>
    <w:rsid w:val="00495E24"/>
    <w:rsid w:val="004B0856"/>
    <w:rsid w:val="004B75B7"/>
    <w:rsid w:val="004E59A9"/>
    <w:rsid w:val="004E5CC3"/>
    <w:rsid w:val="004E69DD"/>
    <w:rsid w:val="00504F92"/>
    <w:rsid w:val="0051094F"/>
    <w:rsid w:val="00514A71"/>
    <w:rsid w:val="0051580D"/>
    <w:rsid w:val="00524C9E"/>
    <w:rsid w:val="005256E2"/>
    <w:rsid w:val="00543656"/>
    <w:rsid w:val="00547111"/>
    <w:rsid w:val="00572A2F"/>
    <w:rsid w:val="00592D74"/>
    <w:rsid w:val="005A35AC"/>
    <w:rsid w:val="005A3FB8"/>
    <w:rsid w:val="005A5246"/>
    <w:rsid w:val="005B0778"/>
    <w:rsid w:val="005B3D94"/>
    <w:rsid w:val="005D09FB"/>
    <w:rsid w:val="005E2C44"/>
    <w:rsid w:val="005E7AE3"/>
    <w:rsid w:val="00621188"/>
    <w:rsid w:val="006257ED"/>
    <w:rsid w:val="00627ACE"/>
    <w:rsid w:val="006733D5"/>
    <w:rsid w:val="00695808"/>
    <w:rsid w:val="006A62C4"/>
    <w:rsid w:val="006B3320"/>
    <w:rsid w:val="006B46FB"/>
    <w:rsid w:val="006D5A0D"/>
    <w:rsid w:val="006D6F49"/>
    <w:rsid w:val="006E0008"/>
    <w:rsid w:val="006E21FB"/>
    <w:rsid w:val="006E2CBC"/>
    <w:rsid w:val="006F4186"/>
    <w:rsid w:val="006F7962"/>
    <w:rsid w:val="00711E2E"/>
    <w:rsid w:val="007256A3"/>
    <w:rsid w:val="007315FA"/>
    <w:rsid w:val="00737FEC"/>
    <w:rsid w:val="0076042C"/>
    <w:rsid w:val="007621E1"/>
    <w:rsid w:val="00766BEE"/>
    <w:rsid w:val="00783D9D"/>
    <w:rsid w:val="00786E3A"/>
    <w:rsid w:val="00792342"/>
    <w:rsid w:val="007977A8"/>
    <w:rsid w:val="007A764E"/>
    <w:rsid w:val="007B0C7E"/>
    <w:rsid w:val="007B512A"/>
    <w:rsid w:val="007C2097"/>
    <w:rsid w:val="007D0B87"/>
    <w:rsid w:val="007D6A07"/>
    <w:rsid w:val="007F0E1F"/>
    <w:rsid w:val="007F2C70"/>
    <w:rsid w:val="007F7259"/>
    <w:rsid w:val="00801425"/>
    <w:rsid w:val="008040A8"/>
    <w:rsid w:val="0081027D"/>
    <w:rsid w:val="008279FA"/>
    <w:rsid w:val="00842181"/>
    <w:rsid w:val="00844AEC"/>
    <w:rsid w:val="00850736"/>
    <w:rsid w:val="008523EF"/>
    <w:rsid w:val="008626E7"/>
    <w:rsid w:val="00870EE7"/>
    <w:rsid w:val="00873782"/>
    <w:rsid w:val="008820FB"/>
    <w:rsid w:val="008863B9"/>
    <w:rsid w:val="00896030"/>
    <w:rsid w:val="008A45A6"/>
    <w:rsid w:val="008B432A"/>
    <w:rsid w:val="008B48ED"/>
    <w:rsid w:val="008D699B"/>
    <w:rsid w:val="008E3435"/>
    <w:rsid w:val="008F5450"/>
    <w:rsid w:val="008F686C"/>
    <w:rsid w:val="00904BEE"/>
    <w:rsid w:val="009136EE"/>
    <w:rsid w:val="0091465B"/>
    <w:rsid w:val="009148DE"/>
    <w:rsid w:val="00922112"/>
    <w:rsid w:val="009242C1"/>
    <w:rsid w:val="00930185"/>
    <w:rsid w:val="009306E4"/>
    <w:rsid w:val="00941E30"/>
    <w:rsid w:val="0094221D"/>
    <w:rsid w:val="00943619"/>
    <w:rsid w:val="00944D2A"/>
    <w:rsid w:val="00964798"/>
    <w:rsid w:val="0097390C"/>
    <w:rsid w:val="009777D9"/>
    <w:rsid w:val="00977F6E"/>
    <w:rsid w:val="0098466F"/>
    <w:rsid w:val="00991B88"/>
    <w:rsid w:val="00994C9B"/>
    <w:rsid w:val="009952BB"/>
    <w:rsid w:val="009A5753"/>
    <w:rsid w:val="009A579D"/>
    <w:rsid w:val="009B5527"/>
    <w:rsid w:val="009D7F51"/>
    <w:rsid w:val="009E02B8"/>
    <w:rsid w:val="009E1195"/>
    <w:rsid w:val="009E3297"/>
    <w:rsid w:val="009F4822"/>
    <w:rsid w:val="009F734F"/>
    <w:rsid w:val="00A036EA"/>
    <w:rsid w:val="00A175BE"/>
    <w:rsid w:val="00A246B6"/>
    <w:rsid w:val="00A31B7B"/>
    <w:rsid w:val="00A40FA7"/>
    <w:rsid w:val="00A47B5F"/>
    <w:rsid w:val="00A47E70"/>
    <w:rsid w:val="00A50CF0"/>
    <w:rsid w:val="00A52AA4"/>
    <w:rsid w:val="00A66E43"/>
    <w:rsid w:val="00A7671C"/>
    <w:rsid w:val="00A77D0B"/>
    <w:rsid w:val="00A77F53"/>
    <w:rsid w:val="00A8384F"/>
    <w:rsid w:val="00AA0168"/>
    <w:rsid w:val="00AA2CBC"/>
    <w:rsid w:val="00AB0681"/>
    <w:rsid w:val="00AC5820"/>
    <w:rsid w:val="00AC718F"/>
    <w:rsid w:val="00AD1CD8"/>
    <w:rsid w:val="00AD383C"/>
    <w:rsid w:val="00B058A1"/>
    <w:rsid w:val="00B127F0"/>
    <w:rsid w:val="00B15E4F"/>
    <w:rsid w:val="00B21057"/>
    <w:rsid w:val="00B258BB"/>
    <w:rsid w:val="00B4063B"/>
    <w:rsid w:val="00B63814"/>
    <w:rsid w:val="00B67B97"/>
    <w:rsid w:val="00B968C8"/>
    <w:rsid w:val="00BA3EC5"/>
    <w:rsid w:val="00BA51D9"/>
    <w:rsid w:val="00BA619B"/>
    <w:rsid w:val="00BB5986"/>
    <w:rsid w:val="00BB5DFC"/>
    <w:rsid w:val="00BB64C0"/>
    <w:rsid w:val="00BC4341"/>
    <w:rsid w:val="00BD279D"/>
    <w:rsid w:val="00BD5D21"/>
    <w:rsid w:val="00BD5F61"/>
    <w:rsid w:val="00BD6869"/>
    <w:rsid w:val="00BD6BB8"/>
    <w:rsid w:val="00C07578"/>
    <w:rsid w:val="00C12CD4"/>
    <w:rsid w:val="00C23863"/>
    <w:rsid w:val="00C256B2"/>
    <w:rsid w:val="00C448EB"/>
    <w:rsid w:val="00C66BA2"/>
    <w:rsid w:val="00C74811"/>
    <w:rsid w:val="00C749E2"/>
    <w:rsid w:val="00C829BB"/>
    <w:rsid w:val="00C945F8"/>
    <w:rsid w:val="00C95985"/>
    <w:rsid w:val="00CB61E5"/>
    <w:rsid w:val="00CC5026"/>
    <w:rsid w:val="00CC68D0"/>
    <w:rsid w:val="00CD6988"/>
    <w:rsid w:val="00CF1802"/>
    <w:rsid w:val="00CF1ABB"/>
    <w:rsid w:val="00D03F9A"/>
    <w:rsid w:val="00D06715"/>
    <w:rsid w:val="00D06D51"/>
    <w:rsid w:val="00D24991"/>
    <w:rsid w:val="00D2661F"/>
    <w:rsid w:val="00D43B94"/>
    <w:rsid w:val="00D50255"/>
    <w:rsid w:val="00D5645A"/>
    <w:rsid w:val="00D624DC"/>
    <w:rsid w:val="00D62D6F"/>
    <w:rsid w:val="00D66520"/>
    <w:rsid w:val="00D71314"/>
    <w:rsid w:val="00D92F0C"/>
    <w:rsid w:val="00DA6158"/>
    <w:rsid w:val="00DB2D4A"/>
    <w:rsid w:val="00DB43F3"/>
    <w:rsid w:val="00DE34CF"/>
    <w:rsid w:val="00E13F3D"/>
    <w:rsid w:val="00E34898"/>
    <w:rsid w:val="00E45BE2"/>
    <w:rsid w:val="00E80344"/>
    <w:rsid w:val="00EB09B7"/>
    <w:rsid w:val="00ED5A18"/>
    <w:rsid w:val="00ED5EBB"/>
    <w:rsid w:val="00EE7D7C"/>
    <w:rsid w:val="00EF1669"/>
    <w:rsid w:val="00F12182"/>
    <w:rsid w:val="00F14342"/>
    <w:rsid w:val="00F25D98"/>
    <w:rsid w:val="00F300FB"/>
    <w:rsid w:val="00F525C0"/>
    <w:rsid w:val="00F62845"/>
    <w:rsid w:val="00F668FF"/>
    <w:rsid w:val="00F7344C"/>
    <w:rsid w:val="00F82497"/>
    <w:rsid w:val="00F84C86"/>
    <w:rsid w:val="00F93E38"/>
    <w:rsid w:val="00F96A3B"/>
    <w:rsid w:val="00FB6386"/>
    <w:rsid w:val="00FE1073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22B631"/>
  <w15:docId w15:val="{38472113-0711-4F69-87EE-0809D568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semiHidden/>
    <w:rsid w:val="000B7FED"/>
    <w:pPr>
      <w:ind w:left="1701" w:hanging="1701"/>
    </w:pPr>
  </w:style>
  <w:style w:type="paragraph" w:styleId="TOC4">
    <w:name w:val="toc 4"/>
    <w:basedOn w:val="TOC3"/>
    <w:uiPriority w:val="39"/>
    <w:semiHidden/>
    <w:rsid w:val="000B7FED"/>
    <w:pPr>
      <w:ind w:left="1418" w:hanging="1418"/>
    </w:pPr>
  </w:style>
  <w:style w:type="paragraph" w:styleId="TOC3">
    <w:name w:val="toc 3"/>
    <w:basedOn w:val="TOC2"/>
    <w:uiPriority w:val="39"/>
    <w:semiHidden/>
    <w:rsid w:val="000B7FED"/>
    <w:pPr>
      <w:ind w:left="1134" w:hanging="1134"/>
    </w:pPr>
  </w:style>
  <w:style w:type="paragraph" w:styleId="TOC2">
    <w:name w:val="toc 2"/>
    <w:basedOn w:val="TOC1"/>
    <w:uiPriority w:val="39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semiHidden/>
    <w:rsid w:val="000B7FED"/>
    <w:pPr>
      <w:ind w:left="1418" w:hanging="1418"/>
    </w:pPr>
  </w:style>
  <w:style w:type="paragraph" w:customStyle="1" w:styleId="EX">
    <w:name w:val="EX"/>
    <w:basedOn w:val="Normal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Zchn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B63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Zchn">
    <w:name w:val="B1 Zchn"/>
    <w:link w:val="B1"/>
    <w:locked/>
    <w:rsid w:val="00B6381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737FEC"/>
    <w:rPr>
      <w:rFonts w:ascii="Times New Roman" w:hAnsi="Times New Roman"/>
      <w:color w:val="FF0000"/>
      <w:lang w:val="en-GB" w:eastAsia="en-US"/>
    </w:rPr>
  </w:style>
  <w:style w:type="character" w:customStyle="1" w:styleId="B1Char1">
    <w:name w:val="B1 Char1"/>
    <w:qFormat/>
    <w:rsid w:val="00737FEC"/>
    <w:rPr>
      <w:rFonts w:ascii="Times New Roman" w:eastAsia="Times New Roman" w:hAnsi="Times New Roman"/>
    </w:rPr>
  </w:style>
  <w:style w:type="character" w:customStyle="1" w:styleId="TALCar">
    <w:name w:val="TAL Car"/>
    <w:link w:val="TAL"/>
    <w:qFormat/>
    <w:locked/>
    <w:rsid w:val="00524C9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524C9E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ocked/>
    <w:rsid w:val="00524C9E"/>
    <w:rPr>
      <w:rFonts w:ascii="Arial" w:eastAsia="MS Mincho" w:hAnsi="Arial"/>
      <w:sz w:val="18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255FD0"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locked/>
    <w:rsid w:val="000036D5"/>
    <w:rPr>
      <w:rFonts w:ascii="Courier New" w:hAnsi="Courier New"/>
      <w:noProof/>
      <w:sz w:val="16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D0671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D0671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D0671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D0671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D0671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D06715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D06715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D0671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D06715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Normal"/>
    <w:rsid w:val="00D06715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D06715"/>
    <w:rPr>
      <w:rFonts w:ascii="Times New Roman" w:hAnsi="Times New Roman"/>
      <w:sz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6715"/>
    <w:rPr>
      <w:rFonts w:ascii="Times New Roman" w:hAnsi="Times New Roman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D06715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D06715"/>
    <w:rPr>
      <w:rFonts w:ascii="Arial" w:hAnsi="Arial"/>
      <w:b/>
      <w:i/>
      <w:noProof/>
      <w:sz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D06715"/>
    <w:rPr>
      <w:rFonts w:ascii="Tahoma" w:hAnsi="Tahoma" w:cs="Tahoma"/>
      <w:sz w:val="16"/>
      <w:szCs w:val="16"/>
      <w:lang w:val="en-GB" w:eastAsia="en-US"/>
    </w:rPr>
  </w:style>
  <w:style w:type="paragraph" w:styleId="Revision">
    <w:name w:val="Revision"/>
    <w:uiPriority w:val="99"/>
    <w:semiHidden/>
    <w:qFormat/>
    <w:rsid w:val="00D06715"/>
    <w:rPr>
      <w:rFonts w:ascii="Times New Roman" w:eastAsia="Batang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D06715"/>
    <w:pPr>
      <w:ind w:left="720"/>
      <w:contextualSpacing/>
    </w:pPr>
    <w:rPr>
      <w:rFonts w:eastAsia="Times New Roman"/>
    </w:rPr>
  </w:style>
  <w:style w:type="character" w:customStyle="1" w:styleId="NOChar">
    <w:name w:val="NO Char"/>
    <w:link w:val="NO"/>
    <w:qFormat/>
    <w:locked/>
    <w:rsid w:val="00D06715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locked/>
    <w:rsid w:val="00D06715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D0671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D06715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D06715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locked/>
    <w:rsid w:val="00D06715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locked/>
    <w:rsid w:val="00D06715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locked/>
    <w:rsid w:val="00D06715"/>
    <w:rPr>
      <w:rFonts w:ascii="Times New Roman" w:hAnsi="Times New Roman"/>
      <w:lang w:val="en-GB" w:eastAsia="en-US"/>
    </w:rPr>
  </w:style>
  <w:style w:type="character" w:customStyle="1" w:styleId="B6Char">
    <w:name w:val="B6 Char"/>
    <w:link w:val="B6"/>
    <w:qFormat/>
    <w:locked/>
    <w:rsid w:val="00D06715"/>
    <w:rPr>
      <w:rFonts w:ascii="Times New Roman" w:eastAsia="Times New Roman" w:hAnsi="Times New Roman"/>
      <w:lang w:val="x-none" w:eastAsia="ja-JP"/>
    </w:rPr>
  </w:style>
  <w:style w:type="paragraph" w:customStyle="1" w:styleId="B6">
    <w:name w:val="B6"/>
    <w:basedOn w:val="B5"/>
    <w:link w:val="B6Char"/>
    <w:qFormat/>
    <w:rsid w:val="00D06715"/>
    <w:pPr>
      <w:overflowPunct w:val="0"/>
      <w:autoSpaceDE w:val="0"/>
      <w:autoSpaceDN w:val="0"/>
      <w:adjustRightInd w:val="0"/>
      <w:ind w:left="1985"/>
    </w:pPr>
    <w:rPr>
      <w:rFonts w:eastAsia="Times New Roman"/>
      <w:lang w:val="x-none" w:eastAsia="ja-JP"/>
    </w:rPr>
  </w:style>
  <w:style w:type="character" w:customStyle="1" w:styleId="B7Char">
    <w:name w:val="B7 Char"/>
    <w:link w:val="B7"/>
    <w:locked/>
    <w:rsid w:val="00D06715"/>
    <w:rPr>
      <w:rFonts w:ascii="Times New Roman" w:eastAsia="Times New Roman" w:hAnsi="Times New Roman"/>
      <w:lang w:val="x-none" w:eastAsia="ja-JP"/>
    </w:rPr>
  </w:style>
  <w:style w:type="paragraph" w:customStyle="1" w:styleId="B7">
    <w:name w:val="B7"/>
    <w:basedOn w:val="B6"/>
    <w:link w:val="B7Char"/>
    <w:qFormat/>
    <w:rsid w:val="00D06715"/>
    <w:pPr>
      <w:ind w:left="2269"/>
    </w:pPr>
  </w:style>
  <w:style w:type="paragraph" w:customStyle="1" w:styleId="B8">
    <w:name w:val="B8"/>
    <w:basedOn w:val="B7"/>
    <w:qFormat/>
    <w:rsid w:val="00D06715"/>
    <w:pPr>
      <w:ind w:left="2552"/>
    </w:pPr>
  </w:style>
  <w:style w:type="paragraph" w:customStyle="1" w:styleId="Revision1">
    <w:name w:val="Revision1"/>
    <w:uiPriority w:val="99"/>
    <w:semiHidden/>
    <w:qFormat/>
    <w:rsid w:val="00D06715"/>
    <w:pPr>
      <w:spacing w:after="160" w:line="256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rsid w:val="00D06715"/>
    <w:pPr>
      <w:ind w:left="2836"/>
    </w:pPr>
  </w:style>
  <w:style w:type="character" w:customStyle="1" w:styleId="B1Char">
    <w:name w:val="B1 Char"/>
    <w:qFormat/>
    <w:locked/>
    <w:rsid w:val="00A47B5F"/>
    <w:rPr>
      <w:rFonts w:eastAsia="Times New Roman"/>
    </w:rPr>
  </w:style>
  <w:style w:type="character" w:customStyle="1" w:styleId="B3Char">
    <w:name w:val="B3 Char"/>
    <w:qFormat/>
    <w:locked/>
    <w:rsid w:val="00A47B5F"/>
    <w:rPr>
      <w:rFonts w:eastAsia="Times New Roman"/>
    </w:rPr>
  </w:style>
  <w:style w:type="paragraph" w:customStyle="1" w:styleId="Doc-text2">
    <w:name w:val="Doc-text2"/>
    <w:basedOn w:val="Normal"/>
    <w:link w:val="Doc-text2Char"/>
    <w:qFormat/>
    <w:rsid w:val="002F5FEB"/>
    <w:pPr>
      <w:tabs>
        <w:tab w:val="left" w:pos="1622"/>
      </w:tabs>
      <w:spacing w:after="0"/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qFormat/>
    <w:rsid w:val="002F5FEB"/>
    <w:rPr>
      <w:rFonts w:ascii="Arial" w:eastAsia="MS Mincho" w:hAnsi="Arial"/>
      <w:lang w:val="en-GB" w:eastAsia="en-GB"/>
    </w:rPr>
  </w:style>
  <w:style w:type="paragraph" w:customStyle="1" w:styleId="Observation">
    <w:name w:val="Observation"/>
    <w:basedOn w:val="Normal"/>
    <w:qFormat/>
    <w:rsid w:val="0098466F"/>
    <w:pPr>
      <w:numPr>
        <w:numId w:val="12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SimSun" w:hAnsi="Arial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1.xml"/><Relationship Id="rId26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6/09/relationships/commentsIds" Target="commentsIds.xml"/><Relationship Id="rId25" Type="http://schemas.openxmlformats.org/officeDocument/2006/relationships/package" Target="embeddings/Microsoft_Visio_Drawing37.vsdx"/><Relationship Id="rId2" Type="http://schemas.openxmlformats.org/officeDocument/2006/relationships/customXml" Target="../customXml/item1.xml"/><Relationship Id="rId16" Type="http://schemas.microsoft.com/office/2011/relationships/commentsExtended" Target="commentsExtended.xml"/><Relationship Id="rId20" Type="http://schemas.openxmlformats.org/officeDocument/2006/relationships/footer" Target="footer1.xml"/><Relationship Id="rId29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.emf"/><Relationship Id="rId5" Type="http://schemas.openxmlformats.org/officeDocument/2006/relationships/customXml" Target="../customXml/item4.xml"/><Relationship Id="rId15" Type="http://schemas.openxmlformats.org/officeDocument/2006/relationships/comments" Target="comments.xml"/><Relationship Id="rId23" Type="http://schemas.openxmlformats.org/officeDocument/2006/relationships/footer" Target="footer3.xml"/><Relationship Id="rId28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31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3.xml"/><Relationship Id="rId27" Type="http://schemas.openxmlformats.org/officeDocument/2006/relationships/header" Target="header5.xml"/><Relationship Id="rId30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23876-C648-4992-9A2C-AF8479AF50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4070FE-ABE6-4AA5-85FC-D705F52D8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87F55D-F73E-4DAF-8324-418A01B00F1C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0EC4CBA7-DE56-4A4F-91CB-AB547FA7C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3</Pages>
  <Words>642</Words>
  <Characters>5202</Characters>
  <Application>Microsoft Office Word</Application>
  <DocSecurity>0</DocSecurity>
  <Lines>43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5833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Helka-Liina Maattanen</cp:lastModifiedBy>
  <cp:revision>3</cp:revision>
  <cp:lastPrinted>1900-12-31T16:00:00Z</cp:lastPrinted>
  <dcterms:created xsi:type="dcterms:W3CDTF">2020-11-04T09:33:00Z</dcterms:created>
  <dcterms:modified xsi:type="dcterms:W3CDTF">2020-11-04T09:35:00Z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</Properties>
</file>