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r>
      <w:proofErr w:type="spellStart"/>
      <w:r w:rsidRPr="0075214E">
        <w:rPr>
          <w:rFonts w:ascii="Arial" w:hAnsi="Arial" w:cs="Arial"/>
          <w:szCs w:val="24"/>
        </w:rPr>
        <w:t>MediaTek</w:t>
      </w:r>
      <w:proofErr w:type="spellEnd"/>
      <w:r w:rsidRPr="0075214E">
        <w:rPr>
          <w:rFonts w:ascii="Arial" w:hAnsi="Arial" w:cs="Arial"/>
          <w:szCs w:val="24"/>
        </w:rPr>
        <w:t xml:space="preserve">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 xml:space="preserve">22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agreed that MCCH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r w:rsidRPr="006B580F">
        <w:rPr>
          <w:rFonts w:ascii="Arial" w:hAnsi="Arial" w:cs="Arial"/>
          <w:b/>
        </w:rPr>
        <w:t xml:space="preserve">PTM change notification mechanism can be used to notify the </w:t>
      </w:r>
      <w:r w:rsidRPr="006B580F">
        <w:rPr>
          <w:rFonts w:ascii="Arial" w:hAnsi="Arial" w:cs="Arial"/>
          <w:b/>
        </w:rPr>
        <w:lastRenderedPageBreak/>
        <w:t>changes 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af6"/>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af1"/>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af1"/>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a"/>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a"/>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a"/>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a"/>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a"/>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a"/>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5" w:author="Weilimei (B)" w:date="2021-01-07T09:24:00Z"/>
                <w:rFonts w:ascii="Arial" w:hAnsi="Arial" w:cs="Arial"/>
                <w:b/>
              </w:rPr>
            </w:pPr>
            <w:r>
              <w:rPr>
                <w:lang w:eastAsia="zh-CN"/>
              </w:rPr>
              <w:t xml:space="preserve">We think the above scenario for UE </w:t>
            </w:r>
            <w:ins w:id="106" w:author="Weilimei (B)" w:date="2021-01-07T09:23:00Z">
              <w:r w:rsidR="00D55B74">
                <w:rPr>
                  <w:lang w:eastAsia="zh-CN"/>
                </w:rPr>
                <w:t>in RRC_IDLE/RRC_</w:t>
              </w:r>
            </w:ins>
            <w:ins w:id="107"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a"/>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a"/>
              <w:numPr>
                <w:ilvl w:val="0"/>
                <w:numId w:val="0"/>
              </w:numPr>
              <w:spacing w:before="120" w:after="120"/>
              <w:ind w:left="360"/>
              <w:rPr>
                <w:lang w:eastAsia="zh-CN"/>
              </w:rPr>
            </w:pPr>
          </w:p>
          <w:p w14:paraId="223279F5" w14:textId="54029FB9" w:rsidR="00D55B74" w:rsidRDefault="00D55B74" w:rsidP="00D55B74">
            <w:pPr>
              <w:pStyle w:val="a"/>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108"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a"/>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a"/>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a"/>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a"/>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a"/>
              <w:numPr>
                <w:ilvl w:val="0"/>
                <w:numId w:val="0"/>
              </w:numPr>
              <w:spacing w:after="180"/>
              <w:ind w:left="360"/>
              <w:rPr>
                <w:lang w:eastAsia="zh-CN"/>
              </w:rPr>
            </w:pPr>
            <w:r>
              <w:rPr>
                <w:lang w:eastAsia="zh-CN"/>
              </w:rPr>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 xml:space="preserve">ussed here. Correspondingly  anther summary can be </w:t>
            </w:r>
            <w:r w:rsidR="00293BB5">
              <w:rPr>
                <w:lang w:eastAsia="zh-CN"/>
              </w:rPr>
              <w:lastRenderedPageBreak/>
              <w:t>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a"/>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a"/>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a"/>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a"/>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 xml:space="preserve">The area consists of the cells of a </w:t>
            </w:r>
            <w:proofErr w:type="spellStart"/>
            <w:r>
              <w:rPr>
                <w:rFonts w:ascii="Arial" w:hAnsi="Arial" w:cs="Arial"/>
                <w:color w:val="00B0F0"/>
                <w:lang w:eastAsia="zh-CN"/>
              </w:rPr>
              <w:t>gNB</w:t>
            </w:r>
            <w:proofErr w:type="spellEnd"/>
            <w:r>
              <w:rPr>
                <w:rFonts w:ascii="Arial" w:hAnsi="Arial" w:cs="Arial"/>
                <w:color w:val="00B0F0"/>
                <w:lang w:eastAsia="zh-CN"/>
              </w:rPr>
              <w:t>-CU.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a"/>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a"/>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a"/>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a"/>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a"/>
              <w:numPr>
                <w:ilvl w:val="0"/>
                <w:numId w:val="0"/>
              </w:numPr>
              <w:spacing w:before="120" w:after="120"/>
              <w:ind w:left="720"/>
              <w:rPr>
                <w:rFonts w:ascii="Arial" w:hAnsi="Arial" w:cs="Arial"/>
                <w:b/>
                <w:lang w:eastAsia="zh-CN"/>
              </w:rPr>
            </w:pPr>
          </w:p>
          <w:p w14:paraId="5685F1AF" w14:textId="4695B37F" w:rsidR="00FA4DD1" w:rsidRDefault="00375D50" w:rsidP="002D3BB2">
            <w:pPr>
              <w:pStyle w:val="a"/>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a"/>
              <w:numPr>
                <w:ilvl w:val="0"/>
                <w:numId w:val="0"/>
              </w:numPr>
              <w:ind w:left="720"/>
              <w:rPr>
                <w:rFonts w:ascii="Arial" w:hAnsi="Arial" w:cs="Arial"/>
                <w:b/>
                <w:lang w:eastAsia="zh-CN"/>
              </w:rPr>
            </w:pPr>
          </w:p>
          <w:p w14:paraId="7E213232" w14:textId="610037BA"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a"/>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a"/>
              <w:numPr>
                <w:ilvl w:val="0"/>
                <w:numId w:val="0"/>
              </w:numPr>
              <w:ind w:left="720"/>
              <w:rPr>
                <w:rFonts w:ascii="Arial" w:hAnsi="Arial" w:cs="Arial"/>
                <w:b/>
                <w:lang w:eastAsia="zh-CN"/>
              </w:rPr>
            </w:pPr>
          </w:p>
          <w:p w14:paraId="6FDBC1A4" w14:textId="5885098E" w:rsidR="00FA4DD1" w:rsidRDefault="00FA61FF" w:rsidP="00FA4DD1">
            <w:pPr>
              <w:pStyle w:val="a"/>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a"/>
              <w:numPr>
                <w:ilvl w:val="0"/>
                <w:numId w:val="0"/>
              </w:numPr>
              <w:ind w:left="720"/>
              <w:rPr>
                <w:rFonts w:ascii="Arial" w:hAnsi="Arial" w:cs="Arial"/>
                <w:b/>
                <w:lang w:eastAsia="zh-CN"/>
              </w:rPr>
            </w:pPr>
          </w:p>
          <w:p w14:paraId="5E5048F6" w14:textId="43AF0182" w:rsidR="00727785" w:rsidRDefault="00957668"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a"/>
              <w:numPr>
                <w:ilvl w:val="0"/>
                <w:numId w:val="0"/>
              </w:numPr>
              <w:ind w:left="720"/>
              <w:rPr>
                <w:rFonts w:ascii="Arial" w:hAnsi="Arial" w:cs="Arial"/>
                <w:b/>
                <w:lang w:eastAsia="zh-CN"/>
              </w:rPr>
            </w:pPr>
          </w:p>
          <w:p w14:paraId="115A0F0D" w14:textId="4D8F0D82" w:rsidR="002024C1" w:rsidRDefault="002024C1"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a"/>
              <w:numPr>
                <w:ilvl w:val="0"/>
                <w:numId w:val="0"/>
              </w:numPr>
              <w:ind w:left="720"/>
              <w:rPr>
                <w:rFonts w:ascii="Arial" w:hAnsi="Arial" w:cs="Arial"/>
                <w:b/>
                <w:lang w:eastAsia="zh-CN"/>
              </w:rPr>
            </w:pPr>
          </w:p>
          <w:p w14:paraId="194DB05D" w14:textId="0DF9CDBC" w:rsidR="00FA4DD1"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a"/>
              <w:numPr>
                <w:ilvl w:val="0"/>
                <w:numId w:val="0"/>
              </w:numPr>
              <w:ind w:left="720"/>
              <w:rPr>
                <w:rFonts w:ascii="Arial" w:hAnsi="Arial" w:cs="Arial"/>
                <w:b/>
                <w:lang w:eastAsia="zh-CN"/>
              </w:rPr>
            </w:pPr>
          </w:p>
          <w:p w14:paraId="3DED018B" w14:textId="2889EE54"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a"/>
              <w:numPr>
                <w:ilvl w:val="0"/>
                <w:numId w:val="0"/>
              </w:numPr>
              <w:ind w:left="720"/>
              <w:rPr>
                <w:rFonts w:ascii="Arial" w:hAnsi="Arial" w:cs="Arial"/>
                <w:b/>
                <w:lang w:eastAsia="zh-CN"/>
              </w:rPr>
            </w:pPr>
          </w:p>
          <w:p w14:paraId="5623109B" w14:textId="613A8C96" w:rsidR="00727785"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When a new MBS of MBS type 1 is broadcast, the PTM configuration information of this new MBS is sent from the </w:t>
            </w:r>
            <w:r>
              <w:rPr>
                <w:rFonts w:ascii="Arial" w:hAnsi="Arial" w:cs="Arial"/>
                <w:b/>
                <w:lang w:eastAsia="zh-CN"/>
              </w:rPr>
              <w:lastRenderedPageBreak/>
              <w:t>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a"/>
              <w:numPr>
                <w:ilvl w:val="0"/>
                <w:numId w:val="0"/>
              </w:numPr>
              <w:ind w:left="720"/>
              <w:rPr>
                <w:rFonts w:ascii="Arial" w:hAnsi="Arial" w:cs="Arial"/>
                <w:b/>
                <w:lang w:eastAsia="zh-CN"/>
              </w:rPr>
            </w:pPr>
          </w:p>
          <w:p w14:paraId="3E3BAAB1" w14:textId="0D1B3698"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a"/>
              <w:numPr>
                <w:ilvl w:val="0"/>
                <w:numId w:val="0"/>
              </w:numPr>
              <w:ind w:left="720"/>
              <w:rPr>
                <w:rFonts w:ascii="Arial" w:hAnsi="Arial" w:cs="Arial"/>
                <w:b/>
                <w:lang w:eastAsia="zh-CN"/>
              </w:rPr>
            </w:pPr>
          </w:p>
          <w:p w14:paraId="7DEBC4B7" w14:textId="7EA7D612" w:rsidR="00727785" w:rsidRDefault="005379F6" w:rsidP="00FA4DD1">
            <w:pPr>
              <w:pStyle w:val="a"/>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a"/>
              <w:numPr>
                <w:ilvl w:val="0"/>
                <w:numId w:val="0"/>
              </w:numPr>
              <w:ind w:left="720"/>
              <w:rPr>
                <w:rFonts w:ascii="Arial" w:hAnsi="Arial" w:cs="Arial"/>
                <w:b/>
                <w:lang w:eastAsia="zh-CN"/>
              </w:rPr>
            </w:pPr>
          </w:p>
          <w:p w14:paraId="6C96E7D4" w14:textId="345F59A6" w:rsidR="00025D82" w:rsidRDefault="00F50B35" w:rsidP="00FA4DD1">
            <w:pPr>
              <w:pStyle w:val="a"/>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a"/>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a"/>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a"/>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a"/>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a"/>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09"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110" w:author="Kyocera - Masato Fujishiro" w:date="2021-01-08T16:49:00Z"/>
                <w:lang w:val="en-GB" w:eastAsia="ja-JP"/>
              </w:rPr>
            </w:pPr>
            <w:ins w:id="111"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2" w:author="Kyocera - Masato Fujishiro" w:date="2021-01-08T16:49:00Z"/>
                <w:lang w:val="en-GB" w:eastAsia="ja-JP"/>
              </w:rPr>
            </w:pPr>
            <w:ins w:id="113"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14" w:author="Kyocera - Masato Fujishiro" w:date="2021-01-08T16:49:00Z"/>
                <w:lang w:val="en-GB" w:eastAsia="ja-JP"/>
              </w:rPr>
            </w:pPr>
            <w:ins w:id="115" w:author="Kyocera - Masato Fujishiro" w:date="2021-01-08T16:49:00Z">
              <w:r>
                <w:rPr>
                  <w:rFonts w:hint="eastAsia"/>
                  <w:lang w:val="en-GB" w:eastAsia="ja-JP"/>
                </w:rPr>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w:t>
              </w:r>
              <w:r>
                <w:rPr>
                  <w:lang w:val="en-GB" w:eastAsia="ja-JP"/>
                </w:rPr>
                <w:lastRenderedPageBreak/>
                <w:t xml:space="preserve">session start or other purposes. So, we wonder if RAN2 should just reuse this statement. </w:t>
              </w:r>
            </w:ins>
          </w:p>
          <w:p w14:paraId="59110CA3" w14:textId="338BE32D" w:rsidR="003C4758" w:rsidRPr="00A24399" w:rsidRDefault="003C4758" w:rsidP="003C4758">
            <w:pPr>
              <w:rPr>
                <w:rFonts w:eastAsia="MS Mincho"/>
              </w:rPr>
            </w:pPr>
            <w:ins w:id="116"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17" w:author="xiaomi" w:date="2021-01-08T15:57:00Z">
              <w:r>
                <w:lastRenderedPageBreak/>
                <w:t>Xiaomi</w:t>
              </w:r>
            </w:ins>
          </w:p>
        </w:tc>
        <w:tc>
          <w:tcPr>
            <w:tcW w:w="7373" w:type="dxa"/>
          </w:tcPr>
          <w:p w14:paraId="2E162439" w14:textId="77777777" w:rsidR="008C634A" w:rsidRDefault="008C634A" w:rsidP="008C634A">
            <w:pPr>
              <w:rPr>
                <w:ins w:id="118" w:author="xiaomi" w:date="2021-01-08T15:57:00Z"/>
                <w:lang w:val="en-GB"/>
              </w:rPr>
            </w:pPr>
            <w:ins w:id="119"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0" w:author="xiaomi" w:date="2021-01-08T15:57:00Z"/>
                <w:lang w:val="en-GB"/>
              </w:rPr>
            </w:pPr>
            <w:ins w:id="121"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2"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P5b the intention is to reuse dedicated SIB delivery mechanism or something different. </w:t>
            </w:r>
            <w:r w:rsidR="008428FF">
              <w:rPr>
                <w:lang w:val="en-GB"/>
              </w:rPr>
              <w:t>R</w:t>
            </w:r>
            <w:r>
              <w:rPr>
                <w:lang w:val="en-GB"/>
              </w:rPr>
              <w:t>eusing the dedicated SIB would allow to cover the use cases mentioned by companies (e.g. UE 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 xml:space="preserve">PTM change notification mechanism can be used to notify the changes of PTM configuration (e.g. carried by MCCH) due </w:t>
            </w:r>
            <w:r w:rsidRPr="006B580F">
              <w:rPr>
                <w:rFonts w:ascii="Arial" w:hAnsi="Arial" w:cs="Arial"/>
                <w:b/>
              </w:rPr>
              <w:lastRenderedPageBreak/>
              <w:t>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Except for NB-</w:t>
            </w:r>
            <w:proofErr w:type="spellStart"/>
            <w:r w:rsidRPr="004F39D7">
              <w:t>IoT</w:t>
            </w:r>
            <w:proofErr w:type="spellEnd"/>
            <w:r w:rsidRPr="004F39D7">
              <w:t xml:space="preserve">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 xml:space="preserve">The notification is sent in the first </w:t>
            </w:r>
            <w:proofErr w:type="spellStart"/>
            <w:r w:rsidRPr="004F39D7">
              <w:t>subframe</w:t>
            </w:r>
            <w:proofErr w:type="spellEnd"/>
            <w:r w:rsidRPr="004F39D7">
              <w:t xml:space="preserv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 xml:space="preserve">When the UE receives a notification, it acquires the SC-MCCH in the same </w:t>
            </w:r>
            <w:proofErr w:type="spellStart"/>
            <w:r w:rsidRPr="004F39D7">
              <w:t>subframe</w:t>
            </w:r>
            <w:proofErr w:type="spellEnd"/>
            <w:r w:rsidRPr="004F39D7">
              <w:t>;</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rFonts w:hint="eastAsia"/>
                <w:lang w:eastAsia="zh-CN"/>
              </w:rPr>
            </w:pPr>
            <w:ins w:id="123" w:author="CATT" w:date="2021-01-11T15:59:00Z">
              <w:r>
                <w:rPr>
                  <w:rFonts w:hint="eastAsia"/>
                  <w:lang w:eastAsia="zh-CN"/>
                </w:rPr>
                <w:t>CATT</w:t>
              </w:r>
            </w:ins>
          </w:p>
        </w:tc>
        <w:tc>
          <w:tcPr>
            <w:tcW w:w="7373" w:type="dxa"/>
          </w:tcPr>
          <w:p w14:paraId="2353041F" w14:textId="1E738CB3" w:rsidR="00F042D2" w:rsidRDefault="005E1322" w:rsidP="00343B31">
            <w:pPr>
              <w:spacing w:after="240"/>
              <w:rPr>
                <w:ins w:id="124" w:author="CATT" w:date="2021-01-11T16:05:00Z"/>
                <w:rFonts w:ascii="Arial" w:hAnsi="Arial" w:cs="Arial" w:hint="eastAsia"/>
                <w:lang w:eastAsia="zh-CN"/>
              </w:rPr>
            </w:pPr>
            <w:ins w:id="125" w:author="CATT" w:date="2021-01-11T16:00:00Z">
              <w:r>
                <w:rPr>
                  <w:rFonts w:ascii="Arial" w:hAnsi="Arial" w:cs="Arial" w:hint="eastAsia"/>
                  <w:lang w:eastAsia="zh-CN"/>
                </w:rPr>
                <w:t>In general, w</w:t>
              </w:r>
            </w:ins>
            <w:ins w:id="126"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127" w:author="CATT" w:date="2021-01-11T15:57:00Z">
              <w:r w:rsidR="00972500">
                <w:rPr>
                  <w:rFonts w:ascii="Arial" w:hAnsi="Arial" w:cs="Arial" w:hint="eastAsia"/>
                  <w:lang w:eastAsia="zh-CN"/>
                </w:rPr>
                <w:t>uawei that it make sense</w:t>
              </w:r>
            </w:ins>
            <w:ins w:id="128"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129"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130" w:author="CATT" w:date="2021-01-11T15:56:00Z">
              <w:r w:rsidR="00F042D2">
                <w:rPr>
                  <w:rFonts w:ascii="Arial" w:hAnsi="Arial" w:cs="Arial" w:hint="eastAsia"/>
                  <w:lang w:eastAsia="zh-CN"/>
                </w:rPr>
                <w:t>progress,</w:t>
              </w:r>
            </w:ins>
            <w:ins w:id="131" w:author="CATT" w:date="2021-01-11T16:01:00Z">
              <w:r w:rsidR="00B26F79">
                <w:rPr>
                  <w:rFonts w:ascii="Arial" w:hAnsi="Arial" w:cs="Arial" w:hint="eastAsia"/>
                  <w:lang w:eastAsia="zh-CN"/>
                </w:rPr>
                <w:t xml:space="preserve"> </w:t>
              </w:r>
            </w:ins>
            <w:ins w:id="132"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133" w:author="CATT" w:date="2021-01-11T15:54:00Z"/>
                <w:rFonts w:ascii="Arial" w:hAnsi="Arial" w:cs="Arial" w:hint="eastAsia"/>
                <w:lang w:eastAsia="zh-CN"/>
              </w:rPr>
            </w:pPr>
            <w:ins w:id="134" w:author="CATT" w:date="2021-01-11T16:05:00Z">
              <w:r>
                <w:rPr>
                  <w:rFonts w:ascii="Arial" w:hAnsi="Arial" w:cs="Arial" w:hint="eastAsia"/>
                  <w:lang w:eastAsia="zh-CN"/>
                </w:rPr>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135" w:author="CATT" w:date="2021-01-11T15:21:00Z"/>
                <w:rFonts w:ascii="Arial" w:hAnsi="Arial" w:cs="Arial"/>
                <w:b/>
              </w:rPr>
            </w:pPr>
            <w:ins w:id="136" w:author="CATT" w:date="2021-01-11T15:21: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137" w:author="CATT" w:date="2021-01-11T15:29:00Z"/>
                <w:rFonts w:ascii="Arial" w:hAnsi="Arial" w:cs="Arial" w:hint="eastAsia"/>
                <w:lang w:eastAsia="zh-CN"/>
              </w:rPr>
            </w:pPr>
            <w:ins w:id="138" w:author="CATT" w:date="2021-01-11T15:25:00Z">
              <w:r>
                <w:rPr>
                  <w:rFonts w:ascii="Arial" w:hAnsi="Arial" w:cs="Arial"/>
                  <w:lang w:eastAsia="zh-CN"/>
                </w:rPr>
                <w:t>P</w:t>
              </w:r>
              <w:r>
                <w:rPr>
                  <w:rFonts w:ascii="Arial" w:hAnsi="Arial" w:cs="Arial" w:hint="eastAsia"/>
                  <w:lang w:eastAsia="zh-CN"/>
                </w:rPr>
                <w:t xml:space="preserve">lease </w:t>
              </w:r>
            </w:ins>
            <w:ins w:id="139" w:author="CATT" w:date="2021-01-11T16:01:00Z">
              <w:r w:rsidR="00B41679" w:rsidRPr="00724D45">
                <w:rPr>
                  <w:rFonts w:ascii="Arial" w:hAnsi="Arial" w:cs="Arial"/>
                </w:rPr>
                <w:t>Rapporteur</w:t>
              </w:r>
              <w:r w:rsidR="00B41679" w:rsidRPr="00925C4F">
                <w:rPr>
                  <w:rFonts w:ascii="Arial" w:hAnsi="Arial" w:cs="Arial"/>
                  <w:b/>
                </w:rPr>
                <w:t xml:space="preserve"> </w:t>
              </w:r>
            </w:ins>
            <w:ins w:id="140"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141" w:author="CATT" w:date="2021-01-11T15:22:00Z">
              <w:r>
                <w:rPr>
                  <w:rFonts w:ascii="Arial" w:hAnsi="Arial" w:cs="Arial" w:hint="eastAsia"/>
                  <w:lang w:eastAsia="zh-CN"/>
                </w:rPr>
                <w:t>.</w:t>
              </w:r>
            </w:ins>
            <w:ins w:id="142" w:author="CATT" w:date="2021-01-11T15:26:00Z">
              <w:r>
                <w:rPr>
                  <w:rFonts w:ascii="Arial" w:hAnsi="Arial" w:cs="Arial" w:hint="eastAsia"/>
                  <w:lang w:eastAsia="zh-CN"/>
                </w:rPr>
                <w:t xml:space="preserve"> </w:t>
              </w:r>
            </w:ins>
            <w:ins w:id="143" w:author="CATT" w:date="2021-01-11T15:25:00Z">
              <w:r>
                <w:rPr>
                  <w:rFonts w:ascii="Arial" w:hAnsi="Arial" w:cs="Arial" w:hint="eastAsia"/>
                  <w:lang w:eastAsia="zh-CN"/>
                </w:rPr>
                <w:t>If not,</w:t>
              </w:r>
            </w:ins>
            <w:ins w:id="144" w:author="CATT" w:date="2021-01-11T15:27:00Z">
              <w:r w:rsidR="00027818">
                <w:rPr>
                  <w:rFonts w:ascii="Arial" w:hAnsi="Arial" w:cs="Arial" w:hint="eastAsia"/>
                  <w:lang w:eastAsia="zh-CN"/>
                </w:rPr>
                <w:t xml:space="preserve"> </w:t>
              </w:r>
            </w:ins>
            <w:ins w:id="145" w:author="CATT" w:date="2021-01-11T15:25:00Z">
              <w:r>
                <w:rPr>
                  <w:rFonts w:ascii="Arial" w:hAnsi="Arial" w:cs="Arial" w:hint="eastAsia"/>
                  <w:lang w:eastAsia="zh-CN"/>
                </w:rPr>
                <w:t xml:space="preserve">this proposal </w:t>
              </w:r>
            </w:ins>
            <w:ins w:id="146" w:author="CATT" w:date="2021-01-11T16:14:00Z">
              <w:r w:rsidR="00BE32FD">
                <w:rPr>
                  <w:rFonts w:ascii="Arial" w:hAnsi="Arial" w:cs="Arial" w:hint="eastAsia"/>
                  <w:lang w:eastAsia="zh-CN"/>
                </w:rPr>
                <w:t>is not necessary</w:t>
              </w:r>
            </w:ins>
            <w:bookmarkStart w:id="147" w:name="_GoBack"/>
            <w:bookmarkEnd w:id="147"/>
            <w:ins w:id="148" w:author="CATT" w:date="2021-01-11T16:04:00Z">
              <w:r w:rsidR="009137B0">
                <w:rPr>
                  <w:rFonts w:ascii="Arial" w:hAnsi="Arial" w:cs="Arial" w:hint="eastAsia"/>
                  <w:lang w:eastAsia="zh-CN"/>
                </w:rPr>
                <w:t>, as</w:t>
              </w:r>
            </w:ins>
            <w:ins w:id="149"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150" w:author="CATT" w:date="2021-01-11T15:23:00Z">
              <w:r>
                <w:rPr>
                  <w:rFonts w:ascii="Arial" w:hAnsi="Arial" w:cs="Arial" w:hint="eastAsia"/>
                  <w:lang w:eastAsia="zh-CN"/>
                </w:rPr>
                <w:t xml:space="preserve">join procedure for multicast is necessary before service </w:t>
              </w:r>
            </w:ins>
            <w:ins w:id="151"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152" w:author="CATT" w:date="2021-01-11T15:21:00Z"/>
                <w:rFonts w:ascii="Arial" w:hAnsi="Arial" w:cs="Arial" w:hint="eastAsia"/>
                <w:lang w:eastAsia="zh-CN"/>
              </w:rPr>
            </w:pPr>
          </w:p>
          <w:p w14:paraId="49FB48FA" w14:textId="77777777" w:rsidR="00C866F1" w:rsidRDefault="00C866F1" w:rsidP="00C866F1">
            <w:pPr>
              <w:spacing w:after="240"/>
              <w:rPr>
                <w:ins w:id="153" w:author="CATT" w:date="2021-01-11T15:17:00Z"/>
                <w:rFonts w:ascii="Arial" w:hAnsi="Arial" w:cs="Arial"/>
                <w:b/>
              </w:rPr>
            </w:pPr>
            <w:ins w:id="154" w:author="CATT" w:date="2021-01-11T15:17:00Z">
              <w:r>
                <w:rPr>
                  <w:rFonts w:ascii="Arial" w:hAnsi="Arial" w:cs="Arial"/>
                  <w:b/>
                </w:rPr>
                <w:lastRenderedPageBreak/>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155" w:author="CATT" w:date="2021-01-11T15:16:00Z"/>
                <w:rFonts w:ascii="Arial" w:hAnsi="Arial" w:cs="Arial" w:hint="eastAsia"/>
                <w:lang w:eastAsia="zh-CN"/>
              </w:rPr>
            </w:pPr>
            <w:ins w:id="156"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157" w:author="CATT" w:date="2021-01-11T15:16:00Z">
              <w:r w:rsidRPr="00724D45">
                <w:rPr>
                  <w:rFonts w:ascii="Arial" w:hAnsi="Arial" w:cs="Arial"/>
                </w:rPr>
                <w:t>companies (12/20) prefer to not support multiple MCCH based PTM configuration.</w:t>
              </w:r>
            </w:ins>
            <w:ins w:id="158" w:author="CATT" w:date="2021-01-11T16:06:00Z">
              <w:r w:rsidR="006F32B6">
                <w:rPr>
                  <w:rFonts w:ascii="Arial" w:hAnsi="Arial" w:cs="Arial" w:hint="eastAsia"/>
                  <w:lang w:eastAsia="zh-CN"/>
                </w:rPr>
                <w:t xml:space="preserve"> </w:t>
              </w:r>
            </w:ins>
            <w:ins w:id="159" w:author="CATT" w:date="2021-01-11T15:18:00Z">
              <w:r>
                <w:rPr>
                  <w:rFonts w:ascii="Arial" w:hAnsi="Arial" w:cs="Arial" w:hint="eastAsia"/>
                  <w:lang w:eastAsia="zh-CN"/>
                </w:rPr>
                <w:t xml:space="preserve">Do we </w:t>
              </w:r>
            </w:ins>
            <w:ins w:id="160" w:author="CATT" w:date="2021-01-11T15:34:00Z">
              <w:r w:rsidR="005F7EC2">
                <w:rPr>
                  <w:rFonts w:ascii="Arial" w:hAnsi="Arial" w:cs="Arial" w:hint="eastAsia"/>
                  <w:lang w:eastAsia="zh-CN"/>
                </w:rPr>
                <w:t xml:space="preserve">still </w:t>
              </w:r>
            </w:ins>
            <w:ins w:id="161" w:author="CATT" w:date="2021-01-11T15:18:00Z">
              <w:r>
                <w:rPr>
                  <w:rFonts w:ascii="Arial" w:hAnsi="Arial" w:cs="Arial" w:hint="eastAsia"/>
                  <w:lang w:eastAsia="zh-CN"/>
                </w:rPr>
                <w:t>need to discuss it further?</w:t>
              </w:r>
            </w:ins>
            <w:ins w:id="162"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163" w:author="CATT" w:date="2021-01-11T15:13:00Z"/>
                <w:rFonts w:ascii="Arial" w:hAnsi="Arial" w:cs="Arial" w:hint="eastAsia"/>
                <w:b/>
                <w:lang w:eastAsia="zh-CN"/>
              </w:rPr>
            </w:pPr>
          </w:p>
          <w:p w14:paraId="5B3830CD" w14:textId="77777777" w:rsidR="00226D23" w:rsidRDefault="00226D23" w:rsidP="00226D23">
            <w:pPr>
              <w:spacing w:before="120"/>
              <w:rPr>
                <w:ins w:id="164" w:author="CATT" w:date="2021-01-11T15:12:00Z"/>
                <w:rFonts w:ascii="Arial" w:hAnsi="Arial" w:cs="Arial" w:hint="eastAsia"/>
                <w:b/>
                <w:lang w:eastAsia="zh-CN"/>
              </w:rPr>
            </w:pPr>
            <w:ins w:id="165" w:author="CATT" w:date="2021-01-11T15:11: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7250F377" w14:textId="73C63F10" w:rsidR="0071566A" w:rsidRDefault="006F32B6" w:rsidP="00724D45">
            <w:pPr>
              <w:spacing w:before="120"/>
              <w:rPr>
                <w:ins w:id="166" w:author="CATT" w:date="2021-01-11T15:13:00Z"/>
                <w:rFonts w:ascii="Arial" w:hAnsi="Arial" w:cs="Arial" w:hint="eastAsia"/>
                <w:lang w:eastAsia="zh-CN"/>
              </w:rPr>
            </w:pPr>
            <w:ins w:id="167" w:author="CATT" w:date="2021-01-11T16:06:00Z">
              <w:r>
                <w:rPr>
                  <w:rFonts w:ascii="Arial" w:hAnsi="Arial" w:cs="Arial" w:hint="eastAsia"/>
                  <w:lang w:eastAsia="zh-CN"/>
                </w:rPr>
                <w:t>We think anyway c</w:t>
              </w:r>
            </w:ins>
            <w:ins w:id="168" w:author="CATT" w:date="2021-01-11T15:12:00Z">
              <w:r w:rsidR="00226D23" w:rsidRPr="00724D45">
                <w:rPr>
                  <w:rFonts w:ascii="Arial" w:hAnsi="Arial" w:cs="Arial" w:hint="eastAsia"/>
                  <w:lang w:eastAsia="zh-CN"/>
                </w:rPr>
                <w:t>hange notification</w:t>
              </w:r>
            </w:ins>
            <w:ins w:id="169" w:author="CATT" w:date="2021-01-11T15:57:00Z">
              <w:r w:rsidR="00DC498B">
                <w:rPr>
                  <w:rFonts w:ascii="Arial" w:hAnsi="Arial" w:cs="Arial" w:hint="eastAsia"/>
                  <w:lang w:eastAsia="zh-CN"/>
                </w:rPr>
                <w:t xml:space="preserve"> mechanism</w:t>
              </w:r>
            </w:ins>
            <w:ins w:id="170" w:author="CATT" w:date="2021-01-11T15:12:00Z">
              <w:r w:rsidR="00226D23" w:rsidRPr="00724D45">
                <w:rPr>
                  <w:rFonts w:ascii="Arial" w:hAnsi="Arial" w:cs="Arial" w:hint="eastAsia"/>
                  <w:lang w:eastAsia="zh-CN"/>
                </w:rPr>
                <w:t xml:space="preserve"> </w:t>
              </w:r>
            </w:ins>
            <w:ins w:id="171" w:author="CATT" w:date="2021-01-11T15:33:00Z">
              <w:r w:rsidR="002143E6">
                <w:rPr>
                  <w:rFonts w:ascii="Arial" w:hAnsi="Arial" w:cs="Arial" w:hint="eastAsia"/>
                  <w:lang w:eastAsia="zh-CN"/>
                </w:rPr>
                <w:t>should</w:t>
              </w:r>
            </w:ins>
            <w:ins w:id="172" w:author="CATT" w:date="2021-01-11T15:12:00Z">
              <w:r w:rsidR="00226D23" w:rsidRPr="00724D45">
                <w:rPr>
                  <w:rFonts w:ascii="Arial" w:hAnsi="Arial" w:cs="Arial" w:hint="eastAsia"/>
                  <w:lang w:eastAsia="zh-CN"/>
                </w:rPr>
                <w:t xml:space="preserve"> </w:t>
              </w:r>
            </w:ins>
            <w:ins w:id="173" w:author="CATT" w:date="2021-01-11T15:57:00Z">
              <w:r w:rsidR="00DC498B">
                <w:rPr>
                  <w:rFonts w:ascii="Arial" w:hAnsi="Arial" w:cs="Arial" w:hint="eastAsia"/>
                  <w:lang w:eastAsia="zh-CN"/>
                </w:rPr>
                <w:t xml:space="preserve">be </w:t>
              </w:r>
            </w:ins>
            <w:ins w:id="174" w:author="CATT" w:date="2021-01-11T16:06:00Z">
              <w:r>
                <w:rPr>
                  <w:rFonts w:ascii="Arial" w:hAnsi="Arial" w:cs="Arial" w:hint="eastAsia"/>
                  <w:lang w:eastAsia="zh-CN"/>
                </w:rPr>
                <w:t>used</w:t>
              </w:r>
            </w:ins>
            <w:ins w:id="175" w:author="CATT" w:date="2021-01-11T15:12:00Z">
              <w:r w:rsidR="00226D23" w:rsidRPr="00724D45">
                <w:rPr>
                  <w:rFonts w:ascii="Arial" w:hAnsi="Arial" w:cs="Arial" w:hint="eastAsia"/>
                  <w:lang w:eastAsia="zh-CN"/>
                </w:rPr>
                <w:t xml:space="preserve"> upon session start,</w:t>
              </w:r>
            </w:ins>
            <w:ins w:id="176" w:author="CATT" w:date="2021-01-11T15:33:00Z">
              <w:r w:rsidR="002143E6">
                <w:rPr>
                  <w:rFonts w:ascii="Arial" w:hAnsi="Arial" w:cs="Arial" w:hint="eastAsia"/>
                  <w:lang w:eastAsia="zh-CN"/>
                </w:rPr>
                <w:t xml:space="preserve"> </w:t>
              </w:r>
            </w:ins>
            <w:ins w:id="177" w:author="CATT" w:date="2021-01-11T15:12:00Z">
              <w:r w:rsidR="00226D23" w:rsidRPr="00724D45">
                <w:rPr>
                  <w:rFonts w:ascii="Arial" w:hAnsi="Arial" w:cs="Arial" w:hint="eastAsia"/>
                  <w:lang w:eastAsia="zh-CN"/>
                </w:rPr>
                <w:t>so</w:t>
              </w:r>
            </w:ins>
            <w:ins w:id="178" w:author="CATT" w:date="2021-01-11T15:33:00Z">
              <w:r w:rsidR="002143E6">
                <w:rPr>
                  <w:rFonts w:ascii="Arial" w:hAnsi="Arial" w:cs="Arial" w:hint="eastAsia"/>
                  <w:lang w:eastAsia="zh-CN"/>
                </w:rPr>
                <w:t xml:space="preserve"> we suggest </w:t>
              </w:r>
            </w:ins>
            <w:ins w:id="179" w:author="CATT" w:date="2021-01-11T15:34:00Z">
              <w:r w:rsidR="002143E6">
                <w:rPr>
                  <w:rFonts w:ascii="Arial" w:hAnsi="Arial" w:cs="Arial" w:hint="eastAsia"/>
                  <w:lang w:eastAsia="zh-CN"/>
                </w:rPr>
                <w:t>that</w:t>
              </w:r>
            </w:ins>
            <w:ins w:id="180"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w:t>
              </w:r>
              <w:proofErr w:type="gramStart"/>
              <w:r w:rsidR="00226D23" w:rsidRPr="00724D45">
                <w:rPr>
                  <w:rFonts w:ascii="Arial" w:hAnsi="Arial" w:cs="Arial" w:hint="eastAsia"/>
                  <w:lang w:eastAsia="zh-CN"/>
                </w:rPr>
                <w:t xml:space="preserve">used </w:t>
              </w:r>
              <w:r w:rsidR="00226D23" w:rsidRPr="00724D45">
                <w:rPr>
                  <w:rFonts w:ascii="Arial" w:hAnsi="Arial" w:cs="Arial"/>
                  <w:lang w:eastAsia="zh-CN"/>
                </w:rPr>
                <w:t>”</w:t>
              </w:r>
              <w:proofErr w:type="gramEnd"/>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181"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182" w:author="CATT" w:date="2021-01-11T15:13:00Z"/>
                <w:rFonts w:ascii="Arial" w:hAnsi="Arial" w:cs="Arial" w:hint="eastAsia"/>
                <w:lang w:eastAsia="zh-CN"/>
              </w:rPr>
            </w:pPr>
          </w:p>
          <w:p w14:paraId="58E7D6E3" w14:textId="77777777" w:rsidR="0020704B" w:rsidRDefault="0020704B" w:rsidP="0020704B">
            <w:pPr>
              <w:spacing w:before="120"/>
              <w:rPr>
                <w:ins w:id="183" w:author="CATT" w:date="2021-01-11T15:13:00Z"/>
                <w:rFonts w:ascii="Arial" w:hAnsi="Arial" w:cs="Arial"/>
                <w:b/>
              </w:rPr>
            </w:pPr>
            <w:ins w:id="184"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32B36D13" w14:textId="1DCA2DF9" w:rsidR="0020704B" w:rsidRDefault="00CC32AA" w:rsidP="00724D45">
            <w:pPr>
              <w:spacing w:before="120"/>
              <w:rPr>
                <w:ins w:id="185" w:author="CATT" w:date="2021-01-11T15:39:00Z"/>
                <w:rFonts w:ascii="Arial" w:hAnsi="Arial" w:cs="Arial" w:hint="eastAsia"/>
                <w:lang w:eastAsia="zh-CN"/>
              </w:rPr>
            </w:pPr>
            <w:ins w:id="186" w:author="CATT" w:date="2021-01-11T15:32:00Z">
              <w:r>
                <w:rPr>
                  <w:rFonts w:ascii="Arial" w:hAnsi="Arial" w:cs="Arial" w:hint="eastAsia"/>
                  <w:lang w:eastAsia="zh-CN"/>
                </w:rPr>
                <w:t xml:space="preserve">There are two </w:t>
              </w:r>
              <w:r>
                <w:rPr>
                  <w:rFonts w:ascii="Arial" w:hAnsi="Arial" w:cs="Arial"/>
                  <w:lang w:eastAsia="zh-CN"/>
                </w:rPr>
                <w:t>mechanism</w:t>
              </w:r>
            </w:ins>
            <w:ins w:id="187" w:author="CATT" w:date="2021-01-11T15:33:00Z">
              <w:r>
                <w:rPr>
                  <w:rFonts w:ascii="Arial" w:hAnsi="Arial" w:cs="Arial" w:hint="eastAsia"/>
                  <w:lang w:eastAsia="zh-CN"/>
                </w:rPr>
                <w:t>s in SC-</w:t>
              </w:r>
            </w:ins>
            <w:ins w:id="188" w:author="CATT" w:date="2021-01-11T16:07:00Z">
              <w:r w:rsidR="00F473C1">
                <w:rPr>
                  <w:rFonts w:ascii="Arial" w:hAnsi="Arial" w:cs="Arial"/>
                  <w:lang w:eastAsia="zh-CN"/>
                </w:rPr>
                <w:t>PTM (</w:t>
              </w:r>
            </w:ins>
            <w:ins w:id="189" w:author="CATT" w:date="2021-01-11T15:33:00Z">
              <w:r>
                <w:rPr>
                  <w:rFonts w:ascii="Arial" w:hAnsi="Arial" w:cs="Arial" w:hint="eastAsia"/>
                  <w:lang w:eastAsia="zh-CN"/>
                </w:rPr>
                <w:t xml:space="preserve">one </w:t>
              </w:r>
            </w:ins>
            <w:ins w:id="190" w:author="CATT" w:date="2021-01-11T16:07:00Z">
              <w:r w:rsidR="00F473C1">
                <w:rPr>
                  <w:rFonts w:ascii="Arial" w:hAnsi="Arial" w:cs="Arial" w:hint="eastAsia"/>
                  <w:lang w:eastAsia="zh-CN"/>
                </w:rPr>
                <w:t xml:space="preserve">is </w:t>
              </w:r>
            </w:ins>
            <w:ins w:id="191" w:author="CATT" w:date="2021-01-11T15:33:00Z">
              <w:r>
                <w:rPr>
                  <w:rFonts w:ascii="Arial" w:hAnsi="Arial" w:cs="Arial" w:hint="eastAsia"/>
                  <w:lang w:eastAsia="zh-CN"/>
                </w:rPr>
                <w:t>for normal UE,</w:t>
              </w:r>
            </w:ins>
            <w:ins w:id="192" w:author="CATT" w:date="2021-01-11T16:07:00Z">
              <w:r w:rsidR="00F473C1">
                <w:rPr>
                  <w:rFonts w:ascii="Arial" w:hAnsi="Arial" w:cs="Arial" w:hint="eastAsia"/>
                  <w:lang w:eastAsia="zh-CN"/>
                </w:rPr>
                <w:t xml:space="preserve"> </w:t>
              </w:r>
            </w:ins>
            <w:ins w:id="193" w:author="CATT" w:date="2021-01-11T15:33:00Z">
              <w:r>
                <w:rPr>
                  <w:rFonts w:ascii="Arial" w:hAnsi="Arial" w:cs="Arial" w:hint="eastAsia"/>
                  <w:lang w:eastAsia="zh-CN"/>
                </w:rPr>
                <w:t xml:space="preserve">the other </w:t>
              </w:r>
            </w:ins>
            <w:ins w:id="194" w:author="CATT" w:date="2021-01-11T16:07:00Z">
              <w:r w:rsidR="00F473C1">
                <w:rPr>
                  <w:rFonts w:ascii="Arial" w:hAnsi="Arial" w:cs="Arial" w:hint="eastAsia"/>
                  <w:lang w:eastAsia="zh-CN"/>
                </w:rPr>
                <w:t xml:space="preserve">is </w:t>
              </w:r>
            </w:ins>
            <w:ins w:id="195" w:author="CATT" w:date="2021-01-11T15:33:00Z">
              <w:r>
                <w:rPr>
                  <w:rFonts w:ascii="Arial" w:hAnsi="Arial" w:cs="Arial" w:hint="eastAsia"/>
                  <w:lang w:eastAsia="zh-CN"/>
                </w:rPr>
                <w:t>for NB-IOT UEs)</w:t>
              </w:r>
            </w:ins>
            <w:ins w:id="196" w:author="CATT" w:date="2021-01-11T15:14:00Z">
              <w:r w:rsidR="003E6425">
                <w:rPr>
                  <w:rFonts w:ascii="Arial" w:hAnsi="Arial" w:cs="Arial" w:hint="eastAsia"/>
                  <w:lang w:eastAsia="zh-CN"/>
                </w:rPr>
                <w:t>.</w:t>
              </w:r>
            </w:ins>
            <w:ins w:id="197" w:author="CATT" w:date="2021-01-11T15:18:00Z">
              <w:r w:rsidR="00FF612D">
                <w:rPr>
                  <w:rFonts w:ascii="Arial" w:hAnsi="Arial" w:cs="Arial" w:hint="eastAsia"/>
                  <w:lang w:eastAsia="zh-CN"/>
                </w:rPr>
                <w:t xml:space="preserve"> </w:t>
              </w:r>
            </w:ins>
            <w:ins w:id="198" w:author="CATT" w:date="2021-01-11T15:33:00Z">
              <w:r>
                <w:rPr>
                  <w:rFonts w:ascii="Arial" w:hAnsi="Arial" w:cs="Arial"/>
                  <w:lang w:eastAsia="zh-CN"/>
                </w:rPr>
                <w:t>S</w:t>
              </w:r>
              <w:r>
                <w:rPr>
                  <w:rFonts w:ascii="Arial" w:hAnsi="Arial" w:cs="Arial" w:hint="eastAsia"/>
                  <w:lang w:eastAsia="zh-CN"/>
                </w:rPr>
                <w:t xml:space="preserve">o we </w:t>
              </w:r>
            </w:ins>
            <w:ins w:id="199"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FFS on down selection between mechanism for normal UEs and for NB-IOT UEs</w:t>
              </w:r>
              <w:r w:rsidR="003E6425">
                <w:rPr>
                  <w:rFonts w:ascii="Arial" w:hAnsi="Arial" w:cs="Arial"/>
                  <w:lang w:eastAsia="zh-CN"/>
                </w:rPr>
                <w:t>”</w:t>
              </w:r>
            </w:ins>
          </w:p>
          <w:p w14:paraId="286C2D9F" w14:textId="77777777" w:rsidR="00270C40" w:rsidRDefault="00270C40" w:rsidP="00724D45">
            <w:pPr>
              <w:spacing w:before="120"/>
              <w:rPr>
                <w:ins w:id="200" w:author="CATT" w:date="2021-01-11T15:40:00Z"/>
                <w:rFonts w:ascii="Arial" w:hAnsi="Arial" w:cs="Arial" w:hint="eastAsia"/>
                <w:lang w:eastAsia="zh-CN"/>
              </w:rPr>
            </w:pPr>
          </w:p>
          <w:p w14:paraId="0F7B813A" w14:textId="77777777" w:rsidR="00270C40" w:rsidRDefault="00270C40" w:rsidP="00724D45">
            <w:pPr>
              <w:spacing w:after="240"/>
              <w:rPr>
                <w:ins w:id="201" w:author="CATT" w:date="2021-01-11T15:41:00Z"/>
                <w:rFonts w:ascii="Arial" w:hAnsi="Arial" w:cs="Arial" w:hint="eastAsia"/>
                <w:b/>
                <w:lang w:eastAsia="zh-CN"/>
              </w:rPr>
            </w:pPr>
            <w:ins w:id="202" w:author="CATT" w:date="2021-01-11T15:40: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7165647A" w14:textId="5E0FC403" w:rsidR="00270C40" w:rsidRPr="00724D45" w:rsidRDefault="00270C40" w:rsidP="00724D45">
            <w:pPr>
              <w:spacing w:after="240"/>
              <w:rPr>
                <w:ins w:id="203" w:author="CATT" w:date="2021-01-11T15:39:00Z"/>
                <w:rFonts w:ascii="Arial" w:hAnsi="Arial" w:cs="Arial" w:hint="eastAsia"/>
                <w:b/>
              </w:rPr>
            </w:pPr>
            <w:ins w:id="204" w:author="CATT" w:date="2021-01-11T15:41:00Z">
              <w:r w:rsidRPr="00724D45">
                <w:rPr>
                  <w:rFonts w:ascii="Arial" w:hAnsi="Arial" w:cs="Arial" w:hint="eastAsia"/>
                  <w:lang w:eastAsia="zh-CN"/>
                </w:rPr>
                <w:t>It seems</w:t>
              </w:r>
            </w:ins>
            <w:ins w:id="205" w:author="CATT" w:date="2021-01-11T15:42:00Z">
              <w:r>
                <w:rPr>
                  <w:rFonts w:ascii="Arial" w:hAnsi="Arial" w:cs="Arial" w:hint="eastAsia"/>
                  <w:lang w:eastAsia="zh-CN"/>
                </w:rPr>
                <w:t xml:space="preserve"> there is no need for RAN2 to decide further</w:t>
              </w:r>
            </w:ins>
            <w:ins w:id="206" w:author="CATT" w:date="2021-01-11T15:58:00Z">
              <w:r w:rsidR="00223E16">
                <w:rPr>
                  <w:rFonts w:ascii="Arial" w:hAnsi="Arial" w:cs="Arial" w:hint="eastAsia"/>
                  <w:lang w:eastAsia="zh-CN"/>
                </w:rPr>
                <w:t xml:space="preserve"> on this</w:t>
              </w:r>
            </w:ins>
            <w:ins w:id="207" w:author="CATT" w:date="2021-01-11T15:42:00Z">
              <w:r>
                <w:rPr>
                  <w:rFonts w:ascii="Arial" w:hAnsi="Arial" w:cs="Arial" w:hint="eastAsia"/>
                  <w:lang w:eastAsia="zh-CN"/>
                </w:rPr>
                <w:t xml:space="preserve"> as t</w:t>
              </w:r>
            </w:ins>
            <w:ins w:id="208" w:author="CATT" w:date="2021-01-11T15:40:00Z">
              <w:r>
                <w:rPr>
                  <w:rFonts w:ascii="Arial" w:hAnsi="Arial" w:cs="Arial" w:hint="eastAsia"/>
                  <w:lang w:eastAsia="zh-CN"/>
                </w:rPr>
                <w:t xml:space="preserve">here is clear majority view to not support </w:t>
              </w:r>
            </w:ins>
            <w:ins w:id="209" w:author="CATT" w:date="2021-01-11T15:58:00Z">
              <w:r w:rsidR="00223E16">
                <w:rPr>
                  <w:rFonts w:ascii="Arial" w:hAnsi="Arial" w:cs="Arial" w:hint="eastAsia"/>
                  <w:lang w:eastAsia="zh-CN"/>
                </w:rPr>
                <w:t>it</w:t>
              </w:r>
            </w:ins>
            <w:ins w:id="210" w:author="CATT" w:date="2021-01-11T15:40:00Z">
              <w:r>
                <w:rPr>
                  <w:rFonts w:ascii="Arial" w:hAnsi="Arial" w:cs="Arial" w:hint="eastAsia"/>
                  <w:lang w:eastAsia="zh-CN"/>
                </w:rPr>
                <w:t>.</w:t>
              </w:r>
            </w:ins>
          </w:p>
          <w:p w14:paraId="2BB1DB4D" w14:textId="77777777" w:rsidR="00270C40" w:rsidRDefault="00270C40" w:rsidP="00724D45">
            <w:pPr>
              <w:spacing w:before="120"/>
              <w:rPr>
                <w:ins w:id="211" w:author="CATT" w:date="2021-01-11T15:42:00Z"/>
                <w:rFonts w:ascii="Arial" w:hAnsi="Arial" w:cs="Arial" w:hint="eastAsia"/>
                <w:lang w:eastAsia="zh-CN"/>
              </w:rPr>
            </w:pPr>
            <w:ins w:id="212" w:author="CATT" w:date="2021-01-11T15:40:00Z">
              <w:r>
                <w:rPr>
                  <w:rFonts w:ascii="Arial" w:hAnsi="Arial" w:cs="Arial" w:hint="eastAsia"/>
                  <w:lang w:eastAsia="zh-CN"/>
                </w:rPr>
                <w:t xml:space="preserve">As </w:t>
              </w:r>
            </w:ins>
            <w:ins w:id="213"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214"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MBS/PTM configuration</w:t>
              </w:r>
            </w:ins>
            <w:ins w:id="215" w:author="CATT" w:date="2021-01-11T15:40:00Z">
              <w:r>
                <w:rPr>
                  <w:rFonts w:ascii="Arial" w:hAnsi="Arial" w:cs="Arial" w:hint="eastAsia"/>
                  <w:lang w:eastAsia="zh-CN"/>
                </w:rPr>
                <w:t>.</w:t>
              </w:r>
            </w:ins>
            <w:ins w:id="216" w:author="CATT" w:date="2021-01-11T15:41:00Z">
              <w:r>
                <w:rPr>
                  <w:rFonts w:ascii="Arial" w:hAnsi="Arial" w:cs="Arial"/>
                  <w:lang w:eastAsia="zh-CN"/>
                </w:rPr>
                <w:t>”</w:t>
              </w:r>
            </w:ins>
          </w:p>
          <w:p w14:paraId="51CCE408" w14:textId="77777777" w:rsidR="0094044A" w:rsidRDefault="0094044A" w:rsidP="00724D45">
            <w:pPr>
              <w:spacing w:before="120"/>
              <w:rPr>
                <w:ins w:id="217" w:author="CATT" w:date="2021-01-11T15:49:00Z"/>
                <w:rFonts w:ascii="Arial" w:hAnsi="Arial" w:cs="Arial" w:hint="eastAsia"/>
                <w:lang w:eastAsia="zh-CN"/>
              </w:rPr>
            </w:pPr>
          </w:p>
          <w:p w14:paraId="3C54F068" w14:textId="77777777" w:rsidR="001A5204" w:rsidRDefault="001A5204" w:rsidP="001A5204">
            <w:pPr>
              <w:spacing w:before="120"/>
              <w:rPr>
                <w:ins w:id="218" w:author="CATT" w:date="2021-01-11T15:50:00Z"/>
                <w:rFonts w:ascii="Arial" w:hAnsi="Arial" w:cs="Arial" w:hint="eastAsia"/>
                <w:b/>
                <w:lang w:eastAsia="zh-CN"/>
              </w:rPr>
            </w:pPr>
            <w:ins w:id="219"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proofErr w:type="spellStart"/>
              <w:r w:rsidRPr="004758E8">
                <w:rPr>
                  <w:rFonts w:ascii="Arial" w:hAnsi="Arial" w:cs="Arial"/>
                  <w:b/>
                </w:rPr>
                <w:t>neighbour</w:t>
              </w:r>
              <w:proofErr w:type="spellEnd"/>
              <w:r w:rsidRPr="004758E8">
                <w:rPr>
                  <w:rFonts w:ascii="Arial" w:hAnsi="Arial" w:cs="Arial"/>
                  <w:b/>
                </w:rPr>
                <w:t xml:space="preserve"> cell information</w:t>
              </w:r>
              <w:r>
                <w:rPr>
                  <w:rFonts w:ascii="Arial" w:hAnsi="Arial" w:cs="Arial"/>
                  <w:b/>
                </w:rPr>
                <w:t>.</w:t>
              </w:r>
            </w:ins>
          </w:p>
          <w:p w14:paraId="689F9512" w14:textId="29B3303A" w:rsidR="008938D1" w:rsidRPr="00724D45" w:rsidRDefault="008938D1" w:rsidP="001A5204">
            <w:pPr>
              <w:spacing w:before="120"/>
              <w:rPr>
                <w:ins w:id="220" w:author="CATT" w:date="2021-01-11T15:49:00Z"/>
                <w:rFonts w:ascii="Arial" w:hAnsi="Arial" w:cs="Arial" w:hint="eastAsia"/>
                <w:lang w:val="en-GB" w:eastAsia="zh-CN"/>
              </w:rPr>
            </w:pPr>
            <w:ins w:id="221" w:author="CATT" w:date="2021-01-11T15:50:00Z">
              <w:r w:rsidRPr="00724D45">
                <w:rPr>
                  <w:rFonts w:ascii="Arial" w:hAnsi="Arial" w:cs="Arial" w:hint="eastAsia"/>
                  <w:lang w:eastAsia="zh-CN"/>
                </w:rPr>
                <w:t>We think P24 is not consistent wi</w:t>
              </w:r>
            </w:ins>
            <w:ins w:id="222"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223" w:author="CATT" w:date="2021-01-11T15:59:00Z"/>
                <w:rFonts w:ascii="Arial" w:hAnsi="Arial" w:cs="Arial" w:hint="eastAsia"/>
                <w:lang w:val="en-GB" w:eastAsia="zh-CN"/>
              </w:rPr>
            </w:pPr>
            <w:ins w:id="224" w:author="CATT" w:date="2021-01-11T15:50:00Z">
              <w:r w:rsidRPr="001A5204">
                <w:rPr>
                  <w:rFonts w:ascii="Arial" w:hAnsi="Arial" w:cs="Arial"/>
                  <w:lang w:val="en-GB" w:eastAsia="zh-CN"/>
                </w:rPr>
                <w:t>“</w:t>
              </w:r>
              <w:r w:rsidRPr="00724D45">
                <w:rPr>
                  <w:rFonts w:ascii="Arial" w:hAnsi="Arial" w:cs="Arial"/>
                </w:rPr>
                <w:t xml:space="preserve">However, some companies (4/21) questioned the need to have </w:t>
              </w:r>
              <w:proofErr w:type="spellStart"/>
              <w:r w:rsidRPr="00724D45">
                <w:rPr>
                  <w:rFonts w:ascii="Arial" w:hAnsi="Arial" w:cs="Arial"/>
                </w:rPr>
                <w:t>neighbour</w:t>
              </w:r>
              <w:proofErr w:type="spellEnd"/>
              <w:r w:rsidRPr="00724D45">
                <w:rPr>
                  <w:rFonts w:ascii="Arial" w:hAnsi="Arial" w:cs="Arial"/>
                </w:rPr>
                <w:t xml:space="preserve"> cell information within PTM configuration. </w:t>
              </w:r>
              <w:proofErr w:type="spellStart"/>
              <w:r w:rsidRPr="00724D45">
                <w:rPr>
                  <w:rFonts w:ascii="Arial" w:hAnsi="Arial" w:cs="Arial"/>
                </w:rPr>
                <w:t>Rapportuer</w:t>
              </w:r>
              <w:proofErr w:type="spellEnd"/>
              <w:r w:rsidRPr="00724D45">
                <w:rPr>
                  <w:rFonts w:ascii="Arial" w:hAnsi="Arial" w:cs="Arial"/>
                </w:rPr>
                <w:t xml:space="preserve"> suggests </w:t>
              </w:r>
              <w:proofErr w:type="gramStart"/>
              <w:r w:rsidRPr="00724D45">
                <w:rPr>
                  <w:rFonts w:ascii="Arial" w:hAnsi="Arial" w:cs="Arial"/>
                </w:rPr>
                <w:t>to reuse</w:t>
              </w:r>
              <w:proofErr w:type="gramEnd"/>
              <w:r w:rsidRPr="00724D45">
                <w:rPr>
                  <w:rFonts w:ascii="Arial" w:hAnsi="Arial" w:cs="Arial"/>
                </w:rPr>
                <w:t xml:space="preserve"> the high-level concept of LTE SC-PTM service continuity for delivery mode 2, while the details can be left open. </w:t>
              </w:r>
              <w:r w:rsidRPr="001A5204">
                <w:rPr>
                  <w:rFonts w:ascii="Arial" w:hAnsi="Arial" w:cs="Arial"/>
                  <w:lang w:val="en-GB" w:eastAsia="zh-CN"/>
                </w:rPr>
                <w:t>”</w:t>
              </w:r>
            </w:ins>
          </w:p>
          <w:p w14:paraId="1A9D006F" w14:textId="4D69E191" w:rsidR="008938D1" w:rsidRPr="00724D45" w:rsidRDefault="000D05F0" w:rsidP="00724D45">
            <w:pPr>
              <w:spacing w:before="120" w:after="120"/>
              <w:rPr>
                <w:rFonts w:ascii="Arial" w:hAnsi="Arial" w:cs="Arial" w:hint="eastAsia"/>
                <w:lang w:val="en-GB" w:eastAsia="zh-CN"/>
              </w:rPr>
            </w:pPr>
            <w:ins w:id="225" w:author="CATT" w:date="2021-01-11T15:59:00Z">
              <w:r>
                <w:rPr>
                  <w:rFonts w:ascii="Arial" w:hAnsi="Arial" w:cs="Arial" w:hint="eastAsia"/>
                  <w:lang w:val="en-GB" w:eastAsia="zh-CN"/>
                </w:rPr>
                <w:t xml:space="preserve">We should not adopt it if we do not know how to use it. </w:t>
              </w:r>
            </w:ins>
            <w:ins w:id="226" w:author="CATT" w:date="2021-01-11T15:51:00Z">
              <w:r w:rsidR="008938D1">
                <w:rPr>
                  <w:rFonts w:ascii="Arial" w:hAnsi="Arial" w:cs="Arial" w:hint="eastAsia"/>
                  <w:lang w:val="en-GB" w:eastAsia="zh-CN"/>
                </w:rPr>
                <w:t xml:space="preserve">One </w:t>
              </w:r>
              <w:proofErr w:type="spellStart"/>
              <w:r w:rsidR="008938D1">
                <w:rPr>
                  <w:rFonts w:ascii="Arial" w:hAnsi="Arial" w:cs="Arial" w:hint="eastAsia"/>
                  <w:lang w:val="en-GB" w:eastAsia="zh-CN"/>
                </w:rPr>
                <w:t>one</w:t>
              </w:r>
              <w:proofErr w:type="spellEnd"/>
              <w:r w:rsidR="008938D1">
                <w:rPr>
                  <w:rFonts w:ascii="Arial" w:hAnsi="Arial" w:cs="Arial" w:hint="eastAsia"/>
                  <w:lang w:val="en-GB" w:eastAsia="zh-CN"/>
                </w:rPr>
                <w:t xml:space="preserve"> hand,</w:t>
              </w:r>
              <w:r w:rsidR="008938D1" w:rsidRPr="00511C13">
                <w:rPr>
                  <w:rFonts w:ascii="Arial" w:hAnsi="Arial" w:cs="Arial"/>
                </w:rPr>
                <w:t xml:space="preserve"> </w:t>
              </w:r>
            </w:ins>
            <w:ins w:id="227" w:author="CATT" w:date="2021-01-11T16:03:00Z">
              <w:r w:rsidR="004B303C" w:rsidRPr="004B303C">
                <w:rPr>
                  <w:rFonts w:ascii="Arial" w:hAnsi="Arial" w:cs="Arial"/>
                </w:rPr>
                <w:t>Rapporteur</w:t>
              </w:r>
              <w:r w:rsidR="004B303C" w:rsidRPr="00925C4F">
                <w:rPr>
                  <w:rFonts w:ascii="Arial" w:hAnsi="Arial" w:cs="Arial"/>
                  <w:b/>
                </w:rPr>
                <w:t xml:space="preserve"> </w:t>
              </w:r>
            </w:ins>
            <w:ins w:id="228" w:author="CATT" w:date="2021-01-11T15:52:00Z">
              <w:r w:rsidR="008938D1">
                <w:rPr>
                  <w:rFonts w:ascii="Arial" w:hAnsi="Arial" w:cs="Arial" w:hint="eastAsia"/>
                  <w:lang w:eastAsia="zh-CN"/>
                </w:rPr>
                <w:t xml:space="preserve">did not answer to question on the need of </w:t>
              </w:r>
              <w:proofErr w:type="spellStart"/>
              <w:r w:rsidR="008938D1" w:rsidRPr="00511C13">
                <w:rPr>
                  <w:rFonts w:ascii="Arial" w:hAnsi="Arial" w:cs="Arial"/>
                </w:rPr>
                <w:t>neighbour</w:t>
              </w:r>
              <w:proofErr w:type="spellEnd"/>
              <w:r w:rsidR="008938D1" w:rsidRPr="00511C13">
                <w:rPr>
                  <w:rFonts w:ascii="Arial" w:hAnsi="Arial" w:cs="Arial"/>
                </w:rPr>
                <w:t xml:space="preserve"> cell information</w:t>
              </w:r>
              <w:r w:rsidR="008938D1">
                <w:rPr>
                  <w:rFonts w:ascii="Arial" w:hAnsi="Arial" w:cs="Arial" w:hint="eastAsia"/>
                  <w:lang w:eastAsia="zh-CN"/>
                </w:rPr>
                <w:t xml:space="preserve"> and suggest </w:t>
              </w:r>
              <w:proofErr w:type="gramStart"/>
              <w:r w:rsidR="008938D1">
                <w:rPr>
                  <w:rFonts w:ascii="Arial" w:hAnsi="Arial" w:cs="Arial" w:hint="eastAsia"/>
                  <w:lang w:eastAsia="zh-CN"/>
                </w:rPr>
                <w:t>to reuse</w:t>
              </w:r>
              <w:proofErr w:type="gramEnd"/>
              <w:r w:rsidR="008938D1">
                <w:rPr>
                  <w:rFonts w:ascii="Arial" w:hAnsi="Arial" w:cs="Arial" w:hint="eastAsia"/>
                  <w:lang w:eastAsia="zh-CN"/>
                </w:rPr>
                <w:t xml:space="preserve"> </w:t>
              </w:r>
              <w:r w:rsidR="008938D1" w:rsidRPr="00511C13">
                <w:rPr>
                  <w:rFonts w:ascii="Arial" w:hAnsi="Arial" w:cs="Arial"/>
                </w:rPr>
                <w:t>high-level concept of LTE SC-PTM</w:t>
              </w:r>
              <w:r w:rsidR="008938D1">
                <w:rPr>
                  <w:rFonts w:ascii="Arial" w:hAnsi="Arial" w:cs="Arial" w:hint="eastAsia"/>
                  <w:lang w:eastAsia="zh-CN"/>
                </w:rPr>
                <w:t>.</w:t>
              </w:r>
            </w:ins>
            <w:ins w:id="229" w:author="CATT" w:date="2021-01-11T15:58:00Z">
              <w:r>
                <w:rPr>
                  <w:rFonts w:ascii="Arial" w:hAnsi="Arial" w:cs="Arial" w:hint="eastAsia"/>
                  <w:lang w:eastAsia="zh-CN"/>
                </w:rPr>
                <w:t xml:space="preserve"> </w:t>
              </w:r>
            </w:ins>
            <w:ins w:id="230" w:author="CATT" w:date="2021-01-11T15:53:00Z">
              <w:r w:rsidR="008938D1">
                <w:rPr>
                  <w:rFonts w:ascii="Arial" w:hAnsi="Arial" w:cs="Arial" w:hint="eastAsia"/>
                  <w:lang w:eastAsia="zh-CN"/>
                </w:rPr>
                <w:t>One the other hand,</w:t>
              </w:r>
              <w:r w:rsidR="008938D1" w:rsidRPr="00511C13">
                <w:rPr>
                  <w:rFonts w:ascii="Arial" w:hAnsi="Arial" w:cs="Arial"/>
                </w:rPr>
                <w:t xml:space="preserve"> </w:t>
              </w:r>
              <w:proofErr w:type="spellStart"/>
              <w:r w:rsidR="008938D1" w:rsidRPr="00511C13">
                <w:rPr>
                  <w:rFonts w:ascii="Arial" w:hAnsi="Arial" w:cs="Arial"/>
                </w:rPr>
                <w:t>Rapportuer</w:t>
              </w:r>
              <w:proofErr w:type="spellEnd"/>
              <w:r w:rsidR="008938D1">
                <w:rPr>
                  <w:rFonts w:ascii="Arial" w:hAnsi="Arial" w:cs="Arial" w:hint="eastAsia"/>
                  <w:lang w:eastAsia="zh-CN"/>
                </w:rPr>
                <w:t xml:space="preserve"> directly include</w:t>
              </w:r>
            </w:ins>
            <w:ins w:id="231" w:author="CATT" w:date="2021-01-11T16:07:00Z">
              <w:r w:rsidR="00F473C1">
                <w:rPr>
                  <w:rFonts w:ascii="Arial" w:hAnsi="Arial" w:cs="Arial" w:hint="eastAsia"/>
                  <w:lang w:eastAsia="zh-CN"/>
                </w:rPr>
                <w:t xml:space="preserve"> the support of </w:t>
              </w:r>
            </w:ins>
            <w:proofErr w:type="spellStart"/>
            <w:ins w:id="232" w:author="CATT" w:date="2021-01-11T15:53:00Z">
              <w:r w:rsidR="008938D1" w:rsidRPr="00724D45">
                <w:rPr>
                  <w:rFonts w:ascii="Arial" w:hAnsi="Arial" w:cs="Arial"/>
                </w:rPr>
                <w:t>neighbour</w:t>
              </w:r>
              <w:proofErr w:type="spellEnd"/>
              <w:r w:rsidR="008938D1" w:rsidRPr="00724D45">
                <w:rPr>
                  <w:rFonts w:ascii="Arial" w:hAnsi="Arial" w:cs="Arial"/>
                </w:rPr>
                <w:t xml:space="preserve"> cell information</w:t>
              </w:r>
            </w:ins>
            <w:ins w:id="233" w:author="CATT" w:date="2021-01-11T16:07:00Z">
              <w:r w:rsidR="00F473C1">
                <w:rPr>
                  <w:rFonts w:ascii="Arial" w:hAnsi="Arial" w:cs="Arial" w:hint="eastAsia"/>
                  <w:lang w:eastAsia="zh-CN"/>
                </w:rPr>
                <w:t xml:space="preserve"> in MCCH</w:t>
              </w:r>
            </w:ins>
            <w:ins w:id="234"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77777777" w:rsidR="0071566A" w:rsidRDefault="0071566A" w:rsidP="0071566A"/>
        </w:tc>
        <w:tc>
          <w:tcPr>
            <w:tcW w:w="7373" w:type="dxa"/>
          </w:tcPr>
          <w:p w14:paraId="7C2027E4" w14:textId="77777777" w:rsidR="0071566A" w:rsidRDefault="0071566A" w:rsidP="0071566A"/>
        </w:tc>
      </w:tr>
      <w:tr w:rsidR="0071566A" w14:paraId="07B6DEB3" w14:textId="77777777" w:rsidTr="00687711">
        <w:tc>
          <w:tcPr>
            <w:tcW w:w="2120" w:type="dxa"/>
          </w:tcPr>
          <w:p w14:paraId="46E41F58" w14:textId="77777777" w:rsidR="0071566A" w:rsidRDefault="0071566A" w:rsidP="0071566A"/>
        </w:tc>
        <w:tc>
          <w:tcPr>
            <w:tcW w:w="7373" w:type="dxa"/>
          </w:tcPr>
          <w:p w14:paraId="3893587F" w14:textId="77777777" w:rsidR="0071566A" w:rsidRDefault="0071566A" w:rsidP="0071566A"/>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a"/>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w:t>
      </w:r>
      <w:proofErr w:type="spellStart"/>
      <w:r w:rsidR="001808D6" w:rsidRPr="001808D6">
        <w:rPr>
          <w:rFonts w:ascii="Arial" w:hAnsi="Arial" w:cs="Arial"/>
          <w:i/>
        </w:rPr>
        <w:t>MediaTek</w:t>
      </w:r>
      <w:proofErr w:type="spellEnd"/>
      <w:r w:rsidR="001808D6" w:rsidRPr="001808D6">
        <w:rPr>
          <w:rFonts w:ascii="Arial" w:hAnsi="Arial" w:cs="Arial"/>
          <w:i/>
        </w:rPr>
        <w:t>)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9"/>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87E03" w14:textId="77777777" w:rsidR="00987078" w:rsidRDefault="00987078">
      <w:pPr>
        <w:pStyle w:val="TAL"/>
      </w:pPr>
      <w:r>
        <w:separator/>
      </w:r>
    </w:p>
  </w:endnote>
  <w:endnote w:type="continuationSeparator" w:id="0">
    <w:p w14:paraId="005BC3C1" w14:textId="77777777" w:rsidR="00987078" w:rsidRDefault="0098707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E14EE" w14:textId="7D9DA193" w:rsidR="00F407B2" w:rsidRDefault="00F407B2">
    <w:pPr>
      <w:pStyle w:val="a5"/>
    </w:pPr>
    <w:r>
      <w:fldChar w:fldCharType="begin"/>
    </w:r>
    <w:r>
      <w:instrText xml:space="preserve"> PAGE   \* MERGEFORMAT </w:instrText>
    </w:r>
    <w:r>
      <w:fldChar w:fldCharType="separate"/>
    </w:r>
    <w:r w:rsidR="00BE32FD">
      <w:t>12</w:t>
    </w:r>
    <w:r>
      <w:fldChar w:fldCharType="end"/>
    </w:r>
  </w:p>
  <w:p w14:paraId="5B35A9F4" w14:textId="77777777" w:rsidR="00F407B2" w:rsidRDefault="00F407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52466" w14:textId="77777777" w:rsidR="00987078" w:rsidRDefault="00987078">
      <w:pPr>
        <w:pStyle w:val="TAL"/>
      </w:pPr>
      <w:r>
        <w:separator/>
      </w:r>
    </w:p>
  </w:footnote>
  <w:footnote w:type="continuationSeparator" w:id="0">
    <w:p w14:paraId="2490595E" w14:textId="77777777" w:rsidR="00987078" w:rsidRDefault="00987078">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4">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6"/>
  </w:num>
  <w:num w:numId="5">
    <w:abstractNumId w:val="14"/>
  </w:num>
  <w:num w:numId="6">
    <w:abstractNumId w:val="10"/>
  </w:num>
  <w:num w:numId="7">
    <w:abstractNumId w:val="8"/>
  </w:num>
  <w:num w:numId="8">
    <w:abstractNumId w:val="7"/>
  </w:num>
  <w:num w:numId="9">
    <w:abstractNumId w:val="0"/>
  </w:num>
  <w:num w:numId="10">
    <w:abstractNumId w:val="2"/>
  </w:num>
  <w:num w:numId="11">
    <w:abstractNumId w:val="1"/>
  </w:num>
  <w:num w:numId="12">
    <w:abstractNumId w:val="11"/>
  </w:num>
  <w:num w:numId="13">
    <w:abstractNumId w:val="9"/>
  </w:num>
  <w:num w:numId="14">
    <w:abstractNumId w:val="5"/>
  </w:num>
  <w:num w:numId="15">
    <w:abstractNumId w:val="12"/>
  </w:num>
  <w:num w:numId="16">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Char4"/>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5"/>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a2"/>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1"/>
    <w:link w:val="af1"/>
    <w:rsid w:val="008E4AD0"/>
    <w:rPr>
      <w:lang w:val="en-GB" w:eastAsia="en-US"/>
    </w:rPr>
  </w:style>
  <w:style w:type="character" w:customStyle="1" w:styleId="Char3">
    <w:name w:val="批注文字 Char"/>
    <w:link w:val="af3"/>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9">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Char4"/>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5"/>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a2"/>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1"/>
    <w:link w:val="af1"/>
    <w:rsid w:val="008E4AD0"/>
    <w:rPr>
      <w:lang w:val="en-GB" w:eastAsia="en-US"/>
    </w:rPr>
  </w:style>
  <w:style w:type="character" w:customStyle="1" w:styleId="Char3">
    <w:name w:val="批注文字 Char"/>
    <w:link w:val="af3"/>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9">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D5AC6-1B79-4A31-B578-A3471B87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14</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CATT</cp:lastModifiedBy>
  <cp:revision>49</cp:revision>
  <cp:lastPrinted>2007-12-21T03:58:00Z</cp:lastPrinted>
  <dcterms:created xsi:type="dcterms:W3CDTF">2021-01-08T05:32:00Z</dcterms:created>
  <dcterms:modified xsi:type="dcterms:W3CDTF">2021-01-11T08:14:00Z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