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proofErr w:type="gramStart"/>
      <w:r>
        <w:rPr>
          <w:rFonts w:eastAsia="SimSun" w:cs="Arial"/>
          <w:b/>
          <w:sz w:val="28"/>
          <w:szCs w:val="28"/>
          <w:lang w:eastAsia="en-US"/>
        </w:rPr>
        <w:t>e-Meeting</w:t>
      </w:r>
      <w:proofErr w:type="gramEnd"/>
      <w:r>
        <w:rPr>
          <w:rFonts w:eastAsia="SimSun" w:cs="Arial"/>
          <w:b/>
          <w:sz w:val="28"/>
          <w:szCs w:val="28"/>
          <w:lang w:eastAsia="en-US"/>
        </w:rPr>
        <w:t>,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Heading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w:t>
      </w:r>
      <w:proofErr w:type="spellStart"/>
      <w:r>
        <w:t>etc</w:t>
      </w:r>
      <w:proofErr w:type="spellEnd"/>
      <w:r>
        <w:t xml:space="preserve">).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Heading1"/>
        <w:rPr>
          <w:snapToGrid w:val="0"/>
        </w:rPr>
      </w:pPr>
      <w:r>
        <w:rPr>
          <w:snapToGrid w:val="0"/>
        </w:rPr>
        <w:t>Overall procedure for RRC-based small data transmission</w:t>
      </w:r>
    </w:p>
    <w:p w:rsidR="00D55952" w:rsidRDefault="0072635B">
      <w:pPr>
        <w:pStyle w:val="Heading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t xml:space="preserve">Note that when CG resources are also configured, then the UE doesn’t know whether the CG resources will be </w:t>
            </w:r>
            <w:r>
              <w:rPr>
                <w:rFonts w:cs="Arial"/>
                <w:snapToGrid w:val="0"/>
                <w:sz w:val="20"/>
                <w:szCs w:val="20"/>
              </w:rPr>
              <w:lastRenderedPageBreak/>
              <w:t xml:space="preserve">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bl>
    <w:p w:rsidR="00D55952" w:rsidRDefault="00D55952">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lastRenderedPageBreak/>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w:t>
            </w:r>
            <w:proofErr w:type="gramStart"/>
            <w:r>
              <w:rPr>
                <w:rFonts w:eastAsiaTheme="minorEastAsia" w:cs="Arial"/>
                <w:snapToGrid w:val="0"/>
                <w:sz w:val="20"/>
                <w:szCs w:val="20"/>
                <w:lang w:eastAsia="zh-CN"/>
              </w:rPr>
              <w:t>in  the</w:t>
            </w:r>
            <w:proofErr w:type="gramEnd"/>
            <w:r>
              <w:rPr>
                <w:rFonts w:eastAsiaTheme="minorEastAsia" w:cs="Arial"/>
                <w:snapToGrid w:val="0"/>
                <w:sz w:val="20"/>
                <w:szCs w:val="20"/>
                <w:lang w:eastAsia="zh-CN"/>
              </w:rPr>
              <w:t xml:space="preserv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for CG based SDT and for the timing alignment, a new timer as clarified by </w:t>
            </w:r>
            <w:proofErr w:type="spellStart"/>
            <w:r>
              <w:rPr>
                <w:rFonts w:eastAsiaTheme="minorEastAsia" w:cs="Arial"/>
                <w:snapToGrid w:val="0"/>
                <w:sz w:val="20"/>
                <w:szCs w:val="20"/>
                <w:lang w:eastAsia="zh-CN"/>
              </w:rPr>
              <w:t>Mediatek</w:t>
            </w:r>
            <w:proofErr w:type="spellEnd"/>
            <w:r>
              <w:rPr>
                <w:rFonts w:eastAsiaTheme="minorEastAsia" w:cs="Arial"/>
                <w:snapToGrid w:val="0"/>
                <w:sz w:val="20"/>
                <w:szCs w:val="20"/>
                <w:lang w:eastAsia="zh-CN"/>
              </w:rPr>
              <w:t xml:space="preserve">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Heading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w:t>
      </w:r>
      <w:proofErr w:type="gramStart"/>
      <w:r>
        <w:rPr>
          <w:sz w:val="20"/>
          <w:szCs w:val="20"/>
          <w:lang w:val="en-GB" w:eastAsia="zh-CN"/>
        </w:rPr>
        <w:t>cause</w:t>
      </w:r>
      <w:proofErr w:type="gramEnd"/>
      <w:r>
        <w:rPr>
          <w:sz w:val="20"/>
          <w:szCs w:val="20"/>
          <w:lang w:val="en-GB" w:eastAsia="zh-CN"/>
        </w:rPr>
        <w:t xml:space="preserv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lastRenderedPageBreak/>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Heading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lastRenderedPageBreak/>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proofErr w:type="gramStart"/>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etwork will</w:t>
            </w:r>
            <w:proofErr w:type="gramEnd"/>
            <w:r w:rsidRPr="0072635B">
              <w:rPr>
                <w:rFonts w:eastAsiaTheme="minorEastAsia" w:cs="Arial" w:hint="eastAsia"/>
                <w:snapToGrid w:val="0"/>
                <w:sz w:val="20"/>
                <w:szCs w:val="20"/>
                <w:lang w:eastAsia="zh-CN"/>
              </w:rPr>
              <w:t xml:space="preserve">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hint="eastAsia"/>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Pr>
                <w:rFonts w:cs="Arial"/>
                <w:b/>
                <w:bCs/>
                <w:snapToGrid w:val="0"/>
                <w:sz w:val="20"/>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lastRenderedPageBreak/>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bl>
    <w:p w:rsidR="00D55952" w:rsidRDefault="0072635B">
      <w:pPr>
        <w:pStyle w:val="Heading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 xml:space="preserve">Agreement: When UE is in RRC_INACTIVE, it should be possible to send multiple UL and DL packets as part of the same SDT mechanism and without transitioning to RRC_CONNECTED on dedicated grant.  </w:t>
      </w:r>
      <w:proofErr w:type="gramStart"/>
      <w:r>
        <w:rPr>
          <w:i/>
          <w:iCs/>
          <w:sz w:val="20"/>
          <w:szCs w:val="20"/>
          <w:highlight w:val="yellow"/>
          <w:lang w:val="en-GB" w:eastAsia="zh-CN"/>
        </w:rPr>
        <w:t>FFS on details and whether any indication to network is needed.</w:t>
      </w:r>
      <w:proofErr w:type="gramEnd"/>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hint="eastAsia"/>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2.5.3: For CG based </w:t>
            </w:r>
            <w:proofErr w:type="gramStart"/>
            <w:r>
              <w:rPr>
                <w:rFonts w:cs="Arial"/>
                <w:b/>
                <w:bCs/>
                <w:snapToGrid w:val="0"/>
                <w:sz w:val="20"/>
                <w:szCs w:val="20"/>
              </w:rPr>
              <w:t>solution,</w:t>
            </w:r>
            <w:proofErr w:type="gramEnd"/>
            <w:r>
              <w:rPr>
                <w:rFonts w:cs="Arial"/>
                <w:b/>
                <w:bCs/>
                <w:snapToGrid w:val="0"/>
                <w:sz w:val="20"/>
                <w:szCs w:val="20"/>
              </w:rPr>
              <w:t xml:space="preserve">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CG, the UE stays in the same </w:t>
            </w:r>
            <w:proofErr w:type="gramStart"/>
            <w:r>
              <w:rPr>
                <w:rFonts w:eastAsiaTheme="minorEastAsia" w:cs="Arial"/>
                <w:snapToGrid w:val="0"/>
                <w:sz w:val="20"/>
                <w:szCs w:val="20"/>
                <w:lang w:eastAsia="zh-CN"/>
              </w:rPr>
              <w:t>cell,</w:t>
            </w:r>
            <w:proofErr w:type="gramEnd"/>
            <w:r>
              <w:rPr>
                <w:rFonts w:eastAsiaTheme="minorEastAsia" w:cs="Arial"/>
                <w:snapToGrid w:val="0"/>
                <w:sz w:val="20"/>
                <w:szCs w:val="20"/>
                <w:lang w:eastAsia="zh-CN"/>
              </w:rPr>
              <w:t xml:space="preserve">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Heading1"/>
        <w:rPr>
          <w:snapToGrid w:val="0"/>
        </w:rPr>
      </w:pPr>
      <w:r>
        <w:rPr>
          <w:snapToGrid w:val="0"/>
        </w:rPr>
        <w:t>Other aspects with potential impact to other WGs</w:t>
      </w:r>
    </w:p>
    <w:p w:rsidR="00D55952" w:rsidRDefault="0072635B">
      <w:pPr>
        <w:pStyle w:val="Heading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w:t>
            </w:r>
            <w:proofErr w:type="gramStart"/>
            <w:r>
              <w:rPr>
                <w:rFonts w:cs="Arial"/>
                <w:snapToGrid w:val="0"/>
                <w:sz w:val="20"/>
                <w:szCs w:val="20"/>
              </w:rPr>
              <w:t>a particular RACH resources</w:t>
            </w:r>
            <w:proofErr w:type="gramEnd"/>
            <w:r>
              <w:rPr>
                <w:rFonts w:cs="Arial"/>
                <w:snapToGrid w:val="0"/>
                <w:sz w:val="20"/>
                <w:szCs w:val="20"/>
              </w:rPr>
              <w:t xml:space="preserve">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3.1.2: Do companies agree that the MSG2/MSGB for SDT needs to be distinguished from the normal MSG2/MSGB? If the answer is yes, please also explain how to distinguish this </w:t>
            </w:r>
            <w:r>
              <w:rPr>
                <w:rFonts w:cs="Arial"/>
                <w:b/>
                <w:bCs/>
                <w:snapToGrid w:val="0"/>
                <w:sz w:val="20"/>
                <w:szCs w:val="20"/>
              </w:rPr>
              <w:lastRenderedPageBreak/>
              <w:t xml:space="preserve">(e.g.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w:t>
            </w:r>
            <w:proofErr w:type="gramStart"/>
            <w:r>
              <w:rPr>
                <w:rFonts w:eastAsia="SimSun" w:cs="Arial"/>
                <w:snapToGrid w:val="0"/>
                <w:sz w:val="20"/>
                <w:szCs w:val="20"/>
                <w:lang w:eastAsia="zh-CN"/>
              </w:rPr>
              <w:t>intention</w:t>
            </w:r>
            <w:proofErr w:type="gramEnd"/>
            <w:r>
              <w:rPr>
                <w:rFonts w:eastAsia="SimSun" w:cs="Arial"/>
                <w:snapToGrid w:val="0"/>
                <w:sz w:val="20"/>
                <w:szCs w:val="20"/>
                <w:lang w:eastAsia="zh-CN"/>
              </w:rPr>
              <w:t xml:space="preserve"> to allow the configuration of separate RA resource pool for SDT is to avoid the congestion on non-SDT RA 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w:t>
            </w:r>
            <w:proofErr w:type="gramStart"/>
            <w:r w:rsidRPr="004F5FEB">
              <w:rPr>
                <w:rFonts w:cs="Arial"/>
                <w:snapToGrid w:val="0"/>
                <w:sz w:val="20"/>
                <w:szCs w:val="20"/>
              </w:rPr>
              <w:t>solutions</w:t>
            </w:r>
            <w:proofErr w:type="gramEnd"/>
            <w:r w:rsidRPr="004F5FEB">
              <w:rPr>
                <w:rFonts w:cs="Arial"/>
                <w:snapToGrid w:val="0"/>
                <w:sz w:val="20"/>
                <w:szCs w:val="20"/>
              </w:rPr>
              <w:t xml:space="preserve">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bl>
    <w:p w:rsidR="00D55952" w:rsidRDefault="00D55952">
      <w:pPr>
        <w:rPr>
          <w:lang w:val="en-GB" w:eastAsia="zh-CN"/>
        </w:rPr>
      </w:pPr>
    </w:p>
    <w:p w:rsidR="00D55952" w:rsidRDefault="0072635B">
      <w:pPr>
        <w:pStyle w:val="Heading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w:t>
            </w:r>
            <w:proofErr w:type="spellStart"/>
            <w:r>
              <w:rPr>
                <w:rFonts w:cs="Arial"/>
                <w:snapToGrid w:val="0"/>
                <w:sz w:val="20"/>
                <w:szCs w:val="20"/>
              </w:rPr>
              <w:t>ack</w:t>
            </w:r>
            <w:proofErr w:type="spellEnd"/>
            <w:r>
              <w:rPr>
                <w:rFonts w:cs="Arial"/>
                <w:snapToGrid w:val="0"/>
                <w:sz w:val="20"/>
                <w:szCs w:val="20"/>
              </w:rPr>
              <w:t xml:space="preserve"> messages if any. This is important to avoid a subsequent paging to deliver the response messages in the opposite direction. In case of LTE and NB-</w:t>
            </w:r>
            <w:proofErr w:type="spellStart"/>
            <w:r>
              <w:rPr>
                <w:rFonts w:cs="Arial"/>
                <w:snapToGrid w:val="0"/>
                <w:sz w:val="20"/>
                <w:szCs w:val="20"/>
              </w:rPr>
              <w:t>IoT</w:t>
            </w:r>
            <w:proofErr w:type="spellEnd"/>
            <w:r>
              <w:rPr>
                <w:rFonts w:cs="Arial"/>
                <w:snapToGrid w:val="0"/>
                <w:sz w:val="20"/>
                <w:szCs w:val="20"/>
              </w:rPr>
              <w:t xml:space="preserve">,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w:t>
            </w:r>
            <w:r>
              <w:rPr>
                <w:rFonts w:eastAsiaTheme="minorEastAsia" w:cs="Arial"/>
                <w:snapToGrid w:val="0"/>
                <w:sz w:val="20"/>
                <w:szCs w:val="20"/>
                <w:lang w:eastAsia="zh-CN"/>
              </w:rPr>
              <w:lastRenderedPageBreak/>
              <w:t xml:space="preserve">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lastRenderedPageBreak/>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bl>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w:t>
            </w:r>
            <w:proofErr w:type="gramStart"/>
            <w:r>
              <w:rPr>
                <w:rFonts w:eastAsiaTheme="minorEastAsia" w:cs="Arial" w:hint="eastAsia"/>
                <w:snapToGrid w:val="0"/>
                <w:sz w:val="20"/>
                <w:szCs w:val="20"/>
                <w:lang w:eastAsia="zh-CN"/>
              </w:rPr>
              <w:t>necessary,</w:t>
            </w:r>
            <w:proofErr w:type="gramEnd"/>
            <w:r>
              <w:rPr>
                <w:rFonts w:eastAsiaTheme="minorEastAsia" w:cs="Arial" w:hint="eastAsia"/>
                <w:snapToGrid w:val="0"/>
                <w:sz w:val="20"/>
                <w:szCs w:val="20"/>
                <w:lang w:eastAsia="zh-CN"/>
              </w:rPr>
              <w:t xml:space="preserve">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lastRenderedPageBreak/>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hint="eastAsia"/>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Heading1"/>
        <w:rPr>
          <w:snapToGrid w:val="0"/>
        </w:rPr>
      </w:pPr>
      <w:r>
        <w:rPr>
          <w:snapToGrid w:val="0"/>
        </w:rPr>
        <w:t>References</w:t>
      </w:r>
    </w:p>
    <w:p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rsidR="00D55952" w:rsidRDefault="00D55952">
      <w:pPr>
        <w:pStyle w:val="ListParagraph"/>
        <w:ind w:left="360"/>
        <w:rPr>
          <w:lang w:val="en-GB" w:eastAsia="en-GB"/>
        </w:rPr>
      </w:pPr>
    </w:p>
    <w:p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proofErr w:type="spellStart"/>
            <w:r>
              <w:rPr>
                <w:lang w:val="en-GB" w:eastAsia="en-GB"/>
              </w:rPr>
              <w:t>Mediatek</w:t>
            </w:r>
            <w:proofErr w:type="spellEnd"/>
          </w:p>
        </w:tc>
        <w:tc>
          <w:tcPr>
            <w:tcW w:w="7889" w:type="dxa"/>
          </w:tcPr>
          <w:p w:rsidR="00D55952" w:rsidRDefault="0072635B">
            <w:pPr>
              <w:rPr>
                <w:lang w:val="en-GB" w:eastAsia="en-GB"/>
              </w:rPr>
            </w:pPr>
            <w:proofErr w:type="spellStart"/>
            <w:r>
              <w:rPr>
                <w:lang w:val="en-GB" w:eastAsia="en-GB"/>
              </w:rPr>
              <w:t>Yuanyuan</w:t>
            </w:r>
            <w:proofErr w:type="spellEnd"/>
            <w:r>
              <w:rPr>
                <w:lang w:val="en-GB" w:eastAsia="en-GB"/>
              </w:rPr>
              <w:t xml:space="preserve">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proofErr w:type="spellStart"/>
            <w:r>
              <w:rPr>
                <w:rFonts w:hint="eastAsia"/>
                <w:lang w:val="en-GB"/>
              </w:rPr>
              <w:t>SeungJune</w:t>
            </w:r>
            <w:proofErr w:type="spellEnd"/>
            <w:r>
              <w:rPr>
                <w:rFonts w:hint="eastAsia"/>
                <w:lang w:val="en-GB"/>
              </w:rPr>
              <w:t xml:space="preserv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rFonts w:hint="eastAsia"/>
                <w:lang w:val="en-GB"/>
              </w:rPr>
            </w:pPr>
            <w:r>
              <w:rPr>
                <w:lang w:val="en-GB"/>
              </w:rPr>
              <w:t>CATT</w:t>
            </w:r>
          </w:p>
        </w:tc>
        <w:tc>
          <w:tcPr>
            <w:tcW w:w="7889" w:type="dxa"/>
          </w:tcPr>
          <w:p w:rsidR="003A7F3E" w:rsidRDefault="003A7F3E">
            <w:pPr>
              <w:rPr>
                <w:rFonts w:hint="eastAsia"/>
                <w:lang w:val="en-GB"/>
              </w:rPr>
            </w:pPr>
            <w:r>
              <w:rPr>
                <w:lang w:val="en-GB"/>
              </w:rPr>
              <w:t>Chandrika Worrall</w:t>
            </w:r>
          </w:p>
        </w:tc>
        <w:tc>
          <w:tcPr>
            <w:tcW w:w="5289" w:type="dxa"/>
          </w:tcPr>
          <w:p w:rsidR="003A7F3E" w:rsidRDefault="003A7F3E">
            <w:pPr>
              <w:rPr>
                <w:lang w:val="en-GB"/>
              </w:rPr>
            </w:pPr>
            <w:r>
              <w:rPr>
                <w:lang w:val="en-GB"/>
              </w:rPr>
              <w:t>c</w:t>
            </w:r>
            <w:bookmarkStart w:id="3" w:name="_GoBack"/>
            <w:bookmarkEnd w:id="3"/>
            <w:r>
              <w:rPr>
                <w:lang w:val="en-GB"/>
              </w:rPr>
              <w:t>handrika@catt.cn</w:t>
            </w:r>
          </w:p>
        </w:tc>
      </w:tr>
    </w:tbl>
    <w:p w:rsidR="00D55952" w:rsidRDefault="00D55952">
      <w:pPr>
        <w:rPr>
          <w:lang w:val="en-GB" w:eastAsia="en-GB"/>
        </w:rPr>
      </w:pPr>
    </w:p>
    <w:p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62" w:rsidRDefault="00541E62">
      <w:pPr>
        <w:spacing w:after="0" w:line="240" w:lineRule="auto"/>
      </w:pPr>
      <w:r>
        <w:separator/>
      </w:r>
    </w:p>
  </w:endnote>
  <w:endnote w:type="continuationSeparator" w:id="0">
    <w:p w:rsidR="00541E62" w:rsidRDefault="0054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62" w:rsidRDefault="00541E62">
      <w:pPr>
        <w:spacing w:after="0" w:line="240" w:lineRule="auto"/>
      </w:pPr>
      <w:r>
        <w:separator/>
      </w:r>
    </w:p>
  </w:footnote>
  <w:footnote w:type="continuationSeparator" w:id="0">
    <w:p w:rsidR="00541E62" w:rsidRDefault="00541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137FF1"/>
    <w:rsid w:val="001B5053"/>
    <w:rsid w:val="002728BB"/>
    <w:rsid w:val="003A7F3E"/>
    <w:rsid w:val="003F33E5"/>
    <w:rsid w:val="003F6CBB"/>
    <w:rsid w:val="00466DF6"/>
    <w:rsid w:val="004E3B6F"/>
    <w:rsid w:val="004E7FFB"/>
    <w:rsid w:val="004F2AE7"/>
    <w:rsid w:val="004F5FEB"/>
    <w:rsid w:val="00541E62"/>
    <w:rsid w:val="0055328C"/>
    <w:rsid w:val="005D5618"/>
    <w:rsid w:val="0072635B"/>
    <w:rsid w:val="007E4840"/>
    <w:rsid w:val="007F0240"/>
    <w:rsid w:val="00B52A64"/>
    <w:rsid w:val="00C63CBA"/>
    <w:rsid w:val="00CC1636"/>
    <w:rsid w:val="00D55952"/>
    <w:rsid w:val="00DF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lsdException w:name="annotation reference" w:uiPriority="0"/>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lsdException w:name="annotation reference" w:uiPriority="0"/>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6.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7.xml><?xml version="1.0" encoding="utf-8"?>
<ds:datastoreItem xmlns:ds="http://schemas.openxmlformats.org/officeDocument/2006/customXml" ds:itemID="{8353EA4E-64A3-4ABC-8EAE-C1F99892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5565</Words>
  <Characters>31722</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7</cp:revision>
  <dcterms:created xsi:type="dcterms:W3CDTF">2020-09-29T10:43:00Z</dcterms:created>
  <dcterms:modified xsi:type="dcterms:W3CDTF">2020-09-29T12:58:00Z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