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pPr>
        <w:snapToGrid w:val="0"/>
        <w:rPr>
          <w:rFonts w:cs="Arial"/>
          <w:snapToGrid w:val="0"/>
          <w:sz w:val="28"/>
          <w:szCs w:val="28"/>
        </w:rPr>
      </w:pPr>
    </w:p>
    <w:p>
      <w:pPr>
        <w:pStyle w:val="EmailDiscussion"/>
      </w:pPr>
      <w:bookmarkStart w:id="2" w:name="_Hlk49421495"/>
      <w:r>
        <w:rPr>
          <w:lang w:val="en-US"/>
        </w:rPr>
        <w:t xml:space="preserve">[Post111-e][925][R17 Small Data] </w:t>
      </w:r>
      <w:bookmarkEnd w:id="2"/>
      <w:r>
        <w:rPr>
          <w:lang w:val="en-US"/>
        </w:rPr>
        <w:t>Agreeable details of RRC-based solution (RACH and CG) (ZTE)</w:t>
      </w:r>
    </w:p>
    <w:p>
      <w:pPr>
        <w:pStyle w:val="EmailDiscussion2"/>
        <w:ind w:left="1982"/>
      </w:pPr>
      <w:r>
        <w:t>Scope:</w:t>
      </w:r>
    </w:p>
    <w:p>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pPr>
        <w:pStyle w:val="EmailDiscussion2"/>
        <w:ind w:left="1982"/>
      </w:pPr>
      <w:r>
        <w:t>•</w:t>
      </w:r>
      <w:r>
        <w:tab/>
        <w:t>Identify any impacts to other WGs (e.g. RAN1)</w:t>
      </w:r>
    </w:p>
    <w:p>
      <w:pPr>
        <w:pStyle w:val="EmailDiscussion2"/>
        <w:ind w:left="1982"/>
      </w:pPr>
      <w:r>
        <w:t>Outcome: Report, Agreeable proposals and identified impacts to other groups</w:t>
      </w:r>
    </w:p>
    <w:p>
      <w:pPr>
        <w:pStyle w:val="EmailDiscussion2"/>
        <w:ind w:left="1982"/>
      </w:pPr>
      <w:r>
        <w:t>Deadline: Long</w:t>
      </w:r>
    </w:p>
    <w:p>
      <w:pPr>
        <w:snapToGrid w:val="0"/>
        <w:rPr>
          <w:rFonts w:cs="Arial"/>
          <w:b/>
          <w:bCs/>
          <w:snapToGrid w:val="0"/>
          <w:sz w:val="28"/>
          <w:szCs w:val="28"/>
        </w:rPr>
      </w:pPr>
    </w:p>
    <w:p>
      <w:pPr>
        <w:snapToGrid w:val="0"/>
        <w:rPr>
          <w:rFonts w:cs="Arial"/>
          <w:b/>
          <w:bCs/>
          <w:snapToGrid w:val="0"/>
        </w:rPr>
      </w:pPr>
      <w:r>
        <w:rPr>
          <w:rFonts w:cs="Arial"/>
          <w:b/>
          <w:bCs/>
          <w:snapToGrid w:val="0"/>
        </w:rPr>
        <w:t xml:space="preserve">Deadline for company comments: </w:t>
      </w:r>
    </w:p>
    <w:p>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pPr>
        <w:snapToGrid w:val="0"/>
        <w:rPr>
          <w:rFonts w:cs="Arial"/>
          <w:snapToGrid w:val="0"/>
          <w:sz w:val="20"/>
          <w:szCs w:val="20"/>
        </w:rPr>
      </w:pPr>
    </w:p>
    <w:p>
      <w:pPr>
        <w:pStyle w:val="1"/>
        <w:rPr>
          <w:snapToGrid w:val="0"/>
        </w:rPr>
      </w:pPr>
      <w:r>
        <w:rPr>
          <w:snapToGrid w:val="0"/>
        </w:rPr>
        <w:t>Overall procedure for RRC-based small data transmission</w:t>
      </w:r>
    </w:p>
    <w:p>
      <w:pPr>
        <w:pStyle w:val="2"/>
        <w:rPr>
          <w:snapToGrid w:val="0"/>
          <w:lang w:val="en-US"/>
        </w:rPr>
      </w:pPr>
      <w:r>
        <w:rPr>
          <w:snapToGrid w:val="0"/>
          <w:lang w:val="en-GB"/>
        </w:rPr>
        <w:t>UE procedure upon moving to INACTIVE</w:t>
      </w:r>
    </w:p>
    <w:p>
      <w:pPr>
        <w:snapToGrid w:val="0"/>
        <w:rPr>
          <w:rFonts w:cs="Arial"/>
          <w:snapToGrid w:val="0"/>
          <w:sz w:val="20"/>
          <w:szCs w:val="20"/>
        </w:rPr>
      </w:pPr>
      <w:r>
        <w:rPr>
          <w:rFonts w:cs="Arial"/>
          <w:snapToGrid w:val="0"/>
          <w:sz w:val="20"/>
          <w:szCs w:val="20"/>
        </w:rPr>
        <w:t xml:space="preserve">Currently when the UE moves to INACTIVE state, the following are performed: </w:t>
      </w:r>
    </w:p>
    <w:p>
      <w:pPr>
        <w:pStyle w:val="af3"/>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pPr>
        <w:pStyle w:val="af3"/>
        <w:numPr>
          <w:ilvl w:val="0"/>
          <w:numId w:val="4"/>
        </w:numPr>
        <w:snapToGrid w:val="0"/>
        <w:rPr>
          <w:rFonts w:cs="Arial"/>
          <w:snapToGrid w:val="0"/>
          <w:sz w:val="20"/>
          <w:szCs w:val="20"/>
        </w:rPr>
      </w:pPr>
      <w:r>
        <w:rPr>
          <w:rFonts w:cs="Arial"/>
          <w:snapToGrid w:val="0"/>
          <w:sz w:val="20"/>
          <w:szCs w:val="20"/>
        </w:rPr>
        <w:t>RLC entities for SRB1 are reestablished</w:t>
      </w:r>
    </w:p>
    <w:p>
      <w:pPr>
        <w:pStyle w:val="af3"/>
        <w:numPr>
          <w:ilvl w:val="0"/>
          <w:numId w:val="4"/>
        </w:numPr>
        <w:snapToGrid w:val="0"/>
        <w:rPr>
          <w:rFonts w:cs="Arial"/>
          <w:snapToGrid w:val="0"/>
          <w:sz w:val="20"/>
          <w:szCs w:val="20"/>
        </w:rPr>
      </w:pPr>
      <w:r>
        <w:rPr>
          <w:rFonts w:cs="Arial"/>
          <w:snapToGrid w:val="0"/>
          <w:sz w:val="20"/>
          <w:szCs w:val="20"/>
        </w:rPr>
        <w:t>All SRBs and DRBs are suspended, except SRB0</w:t>
      </w:r>
    </w:p>
    <w:p>
      <w:pPr>
        <w:rPr>
          <w:rFonts w:cs="Arial"/>
          <w:snapToGrid w:val="0"/>
          <w:sz w:val="20"/>
          <w:szCs w:val="20"/>
        </w:rPr>
      </w:pPr>
    </w:p>
    <w:p>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pPr>
        <w:rPr>
          <w:rFonts w:cs="Arial"/>
          <w:snapToGrid w:val="0"/>
          <w:sz w:val="20"/>
          <w:szCs w:val="20"/>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pPr>
              <w:snapToGrid w:val="0"/>
              <w:rPr>
                <w:rFonts w:cs="Arial"/>
                <w:b/>
                <w:bCs/>
                <w:snapToGrid w:val="0"/>
                <w:sz w:val="20"/>
                <w:szCs w:val="20"/>
              </w:rPr>
            </w:pPr>
            <w:r>
              <w:rPr>
                <w:rFonts w:cs="Arial"/>
                <w:b/>
                <w:bCs/>
                <w:snapToGrid w:val="0"/>
                <w:sz w:val="20"/>
                <w:szCs w:val="20"/>
              </w:rPr>
              <w:t>i.e. can the UE perform the following actions</w:t>
            </w:r>
          </w:p>
          <w:p>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SR0</w:t>
            </w:r>
          </w:p>
          <w:p>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all can be reused for RACH-based solution </w:t>
            </w:r>
          </w:p>
          <w:p>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pPr>
              <w:snapToGrid w:val="0"/>
              <w:rPr>
                <w:rFonts w:cs="Arial"/>
                <w:b/>
                <w:bCs/>
                <w:snapToGrid w:val="0"/>
                <w:sz w:val="20"/>
                <w:szCs w:val="20"/>
              </w:rPr>
            </w:pPr>
          </w:p>
        </w:tc>
      </w:tr>
    </w:tbl>
    <w:p>
      <w:pPr>
        <w:pStyle w:val="2"/>
        <w:numPr>
          <w:ilvl w:val="0"/>
          <w:numId w:val="0"/>
        </w:numPr>
        <w:ind w:left="576" w:hanging="576"/>
        <w:rPr>
          <w:snapToGrid w:val="0"/>
          <w:lang w:val="en-GB"/>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SR0</w:t>
            </w:r>
          </w:p>
          <w:p>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lastRenderedPageBreak/>
              <w:t>ZTE</w:t>
            </w:r>
          </w:p>
        </w:tc>
        <w:tc>
          <w:tcPr>
            <w:tcW w:w="9497" w:type="dxa"/>
          </w:tcPr>
          <w:p>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For UL time alignment in INACTIVE to enable CG based SDT transmission, there are two solutions:</w:t>
            </w:r>
          </w:p>
          <w:p>
            <w:pPr>
              <w:pStyle w:val="af3"/>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pPr>
              <w:pStyle w:val="af3"/>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pPr>
              <w:snapToGrid w:val="0"/>
              <w:rPr>
                <w:rFonts w:cs="Arial"/>
                <w:b/>
                <w:bCs/>
                <w:snapToGrid w:val="0"/>
                <w:sz w:val="20"/>
                <w:szCs w:val="20"/>
              </w:rPr>
            </w:pPr>
          </w:p>
        </w:tc>
      </w:tr>
    </w:tbl>
    <w:p>
      <w:pPr>
        <w:rPr>
          <w:lang w:val="en-GB" w:eastAsia="zh-CN"/>
        </w:rPr>
      </w:pPr>
    </w:p>
    <w:p>
      <w:pPr>
        <w:rPr>
          <w:lang w:val="en-GB" w:eastAsia="zh-CN"/>
        </w:rPr>
      </w:pPr>
    </w:p>
    <w:p>
      <w:pPr>
        <w:pStyle w:val="2"/>
        <w:rPr>
          <w:snapToGrid w:val="0"/>
          <w:lang w:val="en-GB"/>
        </w:rPr>
      </w:pPr>
      <w:r>
        <w:rPr>
          <w:snapToGrid w:val="0"/>
          <w:lang w:val="en-GB"/>
        </w:rPr>
        <w:lastRenderedPageBreak/>
        <w:t>UE procedure upon initiating small data transmission</w:t>
      </w:r>
    </w:p>
    <w:p>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Yes, the existing UAC procedure can be reused for SDT in INACTIVE. </w:t>
            </w:r>
          </w:p>
          <w:p>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pPr>
              <w:snapToGrid w:val="0"/>
              <w:rPr>
                <w:rFonts w:cs="Arial"/>
                <w:b/>
                <w:bCs/>
                <w:snapToGrid w:val="0"/>
                <w:sz w:val="20"/>
                <w:szCs w:val="20"/>
              </w:rPr>
            </w:pPr>
          </w:p>
        </w:tc>
      </w:tr>
    </w:tbl>
    <w:p>
      <w:pPr>
        <w:snapToGrid w:val="0"/>
        <w:rPr>
          <w:rFonts w:cs="Arial"/>
          <w:b/>
          <w:bCs/>
          <w:snapToGrid w:val="0"/>
          <w:sz w:val="20"/>
          <w:szCs w:val="20"/>
          <w:u w:val="single"/>
        </w:rPr>
      </w:pPr>
    </w:p>
    <w:p>
      <w:pPr>
        <w:pStyle w:val="2"/>
        <w:rPr>
          <w:snapToGrid w:val="0"/>
          <w:lang w:val="en-GB"/>
        </w:rPr>
      </w:pPr>
      <w:r>
        <w:rPr>
          <w:snapToGrid w:val="0"/>
          <w:lang w:val="en-GB"/>
        </w:rPr>
        <w:t>Handling of user plane and contents of first UL message</w:t>
      </w:r>
    </w:p>
    <w:p>
      <w:pPr>
        <w:rPr>
          <w:sz w:val="20"/>
          <w:szCs w:val="20"/>
          <w:lang w:val="en-GB" w:eastAsia="zh-CN"/>
        </w:rPr>
      </w:pPr>
      <w:r>
        <w:rPr>
          <w:sz w:val="20"/>
          <w:szCs w:val="20"/>
          <w:lang w:val="en-GB" w:eastAsia="zh-CN"/>
        </w:rPr>
        <w:t xml:space="preserve">At RAN2#111e, the following agreement was made: </w:t>
      </w:r>
    </w:p>
    <w:p>
      <w:pPr>
        <w:rPr>
          <w:sz w:val="20"/>
          <w:szCs w:val="20"/>
          <w:lang w:val="en-GB" w:eastAsia="zh-CN"/>
        </w:rPr>
      </w:pPr>
    </w:p>
    <w:p>
      <w:pPr>
        <w:ind w:firstLine="720"/>
        <w:rPr>
          <w:i/>
          <w:iCs/>
          <w:sz w:val="20"/>
          <w:szCs w:val="20"/>
          <w:lang w:val="en-GB" w:eastAsia="zh-CN"/>
        </w:rPr>
      </w:pPr>
      <w:r>
        <w:rPr>
          <w:sz w:val="20"/>
          <w:szCs w:val="20"/>
          <w:highlight w:val="yellow"/>
          <w:lang w:val="en-GB" w:eastAsia="zh-CN"/>
        </w:rPr>
        <w:lastRenderedPageBreak/>
        <w:t xml:space="preserve">Agreement: </w:t>
      </w:r>
      <w:r>
        <w:rPr>
          <w:i/>
          <w:iCs/>
          <w:sz w:val="20"/>
          <w:szCs w:val="20"/>
          <w:highlight w:val="yellow"/>
          <w:lang w:val="en-GB" w:eastAsia="zh-CN"/>
        </w:rPr>
        <w:t>Small data transmission is configured by the network on a per DRB basis</w:t>
      </w:r>
    </w:p>
    <w:p>
      <w:pPr>
        <w:rPr>
          <w:sz w:val="20"/>
          <w:szCs w:val="20"/>
          <w:lang w:val="en-GB" w:eastAsia="zh-CN"/>
        </w:rPr>
      </w:pPr>
    </w:p>
    <w:p>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 xml:space="preserve">Views: Yes (DRBs should also be resumed) / No (explain) </w:t>
            </w:r>
          </w:p>
          <w:p>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pPr>
              <w:snapToGrid w:val="0"/>
              <w:rPr>
                <w:rFonts w:cs="Arial"/>
                <w:snapToGrid w:val="0"/>
                <w:sz w:val="20"/>
                <w:szCs w:val="20"/>
              </w:rPr>
            </w:pPr>
            <w:r>
              <w:rPr>
                <w:rFonts w:cs="Arial"/>
                <w:snapToGrid w:val="0"/>
                <w:sz w:val="20"/>
                <w:szCs w:val="20"/>
              </w:rPr>
              <w:t xml:space="preserve">However, some changes may be needed for the PDCP suspend/resume procedure: </w:t>
            </w:r>
          </w:p>
          <w:p>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w:t>
            </w:r>
            <w:r>
              <w:rPr>
                <w:rFonts w:cs="Arial"/>
                <w:snapToGrid w:val="0"/>
                <w:sz w:val="20"/>
                <w:szCs w:val="20"/>
              </w:rPr>
              <w:lastRenderedPageBreak/>
              <w:t xml:space="preserve">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pPr>
              <w:snapToGrid w:val="0"/>
              <w:rPr>
                <w:rFonts w:cs="Arial"/>
                <w:b/>
                <w:bCs/>
                <w:snapToGrid w:val="0"/>
                <w:sz w:val="20"/>
                <w:szCs w:val="20"/>
              </w:rPr>
            </w:pPr>
          </w:p>
        </w:tc>
      </w:tr>
    </w:tbl>
    <w:p>
      <w:pPr>
        <w:rPr>
          <w:sz w:val="20"/>
          <w:szCs w:val="20"/>
          <w:lang w:val="en-GB" w:eastAsia="zh-CN"/>
        </w:rPr>
      </w:pPr>
    </w:p>
    <w:p>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pPr>
        <w:rPr>
          <w:sz w:val="20"/>
          <w:szCs w:val="20"/>
          <w:lang w:val="en-GB" w:eastAsia="zh-CN"/>
        </w:rPr>
      </w:pPr>
    </w:p>
    <w:p>
      <w:pPr>
        <w:pStyle w:val="af3"/>
        <w:numPr>
          <w:ilvl w:val="0"/>
          <w:numId w:val="5"/>
        </w:num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pPr>
              <w:pStyle w:val="af3"/>
              <w:numPr>
                <w:ilvl w:val="0"/>
                <w:numId w:val="5"/>
              </w:numPr>
              <w:snapToGrid w:val="0"/>
              <w:rPr>
                <w:rFonts w:cs="Arial"/>
                <w:b/>
                <w:bCs/>
                <w:snapToGrid w:val="0"/>
                <w:sz w:val="20"/>
                <w:szCs w:val="20"/>
              </w:rPr>
            </w:pPr>
            <w:r>
              <w:rPr>
                <w:rFonts w:cs="Arial"/>
                <w:b/>
                <w:bCs/>
                <w:snapToGrid w:val="0"/>
                <w:sz w:val="20"/>
                <w:szCs w:val="20"/>
              </w:rPr>
              <w:t>CCCH message (i.e. RRCResumeRequest)</w:t>
            </w:r>
          </w:p>
          <w:p>
            <w:pPr>
              <w:pStyle w:val="af3"/>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pPr>
              <w:pStyle w:val="af3"/>
              <w:numPr>
                <w:ilvl w:val="0"/>
                <w:numId w:val="5"/>
              </w:numPr>
              <w:snapToGrid w:val="0"/>
              <w:rPr>
                <w:rFonts w:cs="Arial"/>
                <w:b/>
                <w:bCs/>
                <w:snapToGrid w:val="0"/>
                <w:sz w:val="20"/>
                <w:szCs w:val="20"/>
              </w:rPr>
            </w:pPr>
            <w:r>
              <w:rPr>
                <w:rFonts w:cs="Arial"/>
                <w:b/>
                <w:bCs/>
                <w:snapToGrid w:val="0"/>
                <w:sz w:val="20"/>
                <w:szCs w:val="20"/>
              </w:rPr>
              <w:t>MAC CEs (e.g. BSR)</w:t>
            </w: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Views: Yes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lastRenderedPageBreak/>
              <w:t>Mediatek</w:t>
            </w:r>
          </w:p>
        </w:tc>
        <w:tc>
          <w:tcPr>
            <w:tcW w:w="9497" w:type="dxa"/>
          </w:tcPr>
          <w:p>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pPr>
              <w:snapToGrid w:val="0"/>
              <w:rPr>
                <w:rFonts w:cs="Arial"/>
                <w:b/>
                <w:bCs/>
                <w:snapToGrid w:val="0"/>
                <w:sz w:val="20"/>
                <w:szCs w:val="20"/>
              </w:rPr>
            </w:pPr>
          </w:p>
        </w:tc>
      </w:tr>
    </w:tbl>
    <w:p>
      <w:pPr>
        <w:rPr>
          <w:sz w:val="20"/>
          <w:szCs w:val="20"/>
          <w:lang w:val="en-GB" w:eastAsia="zh-CN"/>
        </w:rPr>
      </w:pPr>
    </w:p>
    <w:p>
      <w:pPr>
        <w:pStyle w:val="2"/>
        <w:rPr>
          <w:snapToGrid w:val="0"/>
          <w:lang w:val="en-GB"/>
        </w:rPr>
      </w:pPr>
      <w:r>
        <w:rPr>
          <w:snapToGrid w:val="0"/>
          <w:lang w:val="en-GB"/>
        </w:rPr>
        <w:t>Security framework</w:t>
      </w:r>
    </w:p>
    <w:p>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This can be the same as legacy.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lastRenderedPageBreak/>
              <w:t>LG</w:t>
            </w:r>
          </w:p>
        </w:tc>
        <w:tc>
          <w:tcPr>
            <w:tcW w:w="9497" w:type="dxa"/>
          </w:tcPr>
          <w:p>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pPr>
              <w:snapToGrid w:val="0"/>
              <w:rPr>
                <w:rFonts w:cs="Arial"/>
                <w:b/>
                <w:bCs/>
                <w:snapToGrid w:val="0"/>
                <w:sz w:val="20"/>
                <w:szCs w:val="20"/>
              </w:rPr>
            </w:pPr>
          </w:p>
        </w:tc>
      </w:tr>
    </w:tbl>
    <w:p>
      <w:pPr>
        <w:snapToGrid w:val="0"/>
        <w:rPr>
          <w:rFonts w:cs="Arial"/>
          <w:b/>
          <w:bCs/>
          <w:snapToGrid w:val="0"/>
          <w:sz w:val="20"/>
          <w:szCs w:val="20"/>
          <w:u w:val="single"/>
        </w:rPr>
      </w:pPr>
    </w:p>
    <w:p>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This can be the same as legacy.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 xml:space="preserve">Mediatek </w:t>
            </w:r>
          </w:p>
        </w:tc>
        <w:tc>
          <w:tcPr>
            <w:tcW w:w="9497" w:type="dxa"/>
          </w:tcPr>
          <w:p>
            <w:pPr>
              <w:snapToGrid w:val="0"/>
              <w:rPr>
                <w:rFonts w:cs="Arial"/>
                <w:snapToGrid w:val="0"/>
                <w:sz w:val="20"/>
                <w:szCs w:val="20"/>
              </w:rPr>
            </w:pPr>
            <w:r>
              <w:rPr>
                <w:rFonts w:cs="Arial"/>
                <w:snapToGrid w:val="0"/>
                <w:sz w:val="20"/>
                <w:szCs w:val="20"/>
              </w:rPr>
              <w:t xml:space="preserve">Yes. Same comment as above question.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pPr>
              <w:snapToGrid w:val="0"/>
              <w:rPr>
                <w:rFonts w:cs="Arial"/>
                <w:b/>
                <w:bCs/>
                <w:snapToGrid w:val="0"/>
                <w:sz w:val="20"/>
                <w:szCs w:val="20"/>
              </w:rPr>
            </w:pPr>
          </w:p>
        </w:tc>
      </w:tr>
    </w:tbl>
    <w:p>
      <w:pPr>
        <w:pStyle w:val="2"/>
        <w:rPr>
          <w:snapToGrid w:val="0"/>
          <w:lang w:val="en-GB"/>
        </w:rPr>
      </w:pPr>
      <w:r>
        <w:rPr>
          <w:snapToGrid w:val="0"/>
          <w:lang w:val="en-GB"/>
        </w:rPr>
        <w:t xml:space="preserve">Subsequent data transmission </w:t>
      </w:r>
    </w:p>
    <w:p>
      <w:pPr>
        <w:rPr>
          <w:sz w:val="20"/>
          <w:szCs w:val="20"/>
          <w:lang w:val="en-GB" w:eastAsia="zh-CN"/>
        </w:rPr>
      </w:pPr>
      <w:r>
        <w:rPr>
          <w:sz w:val="20"/>
          <w:szCs w:val="20"/>
          <w:lang w:val="en-GB" w:eastAsia="zh-CN"/>
        </w:rPr>
        <w:t xml:space="preserve">At RAN2#111-e, the following agreement was made: </w:t>
      </w:r>
    </w:p>
    <w:p>
      <w:pPr>
        <w:ind w:left="432"/>
        <w:rPr>
          <w:i/>
          <w:iCs/>
          <w:sz w:val="20"/>
          <w:szCs w:val="20"/>
          <w:highlight w:val="yellow"/>
          <w:lang w:val="en-GB" w:eastAsia="zh-CN"/>
        </w:rPr>
      </w:pPr>
    </w:p>
    <w:p>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pPr>
        <w:rPr>
          <w:i/>
          <w:iCs/>
          <w:sz w:val="20"/>
          <w:szCs w:val="20"/>
          <w:lang w:val="en-GB" w:eastAsia="zh-CN"/>
        </w:rPr>
      </w:pPr>
    </w:p>
    <w:p>
      <w:pPr>
        <w:rPr>
          <w:sz w:val="20"/>
          <w:szCs w:val="20"/>
          <w:lang w:val="en-GB" w:eastAsia="zh-CN"/>
        </w:rPr>
      </w:pPr>
      <w:r>
        <w:rPr>
          <w:sz w:val="20"/>
          <w:szCs w:val="20"/>
          <w:lang w:val="en-GB" w:eastAsia="zh-CN"/>
        </w:rPr>
        <w:lastRenderedPageBreak/>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Yes, the UE shall monitor the C-RNTI search space for further scheduling messages on the PDCCH:</w:t>
            </w:r>
          </w:p>
          <w:p>
            <w:pPr>
              <w:pStyle w:val="af3"/>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pPr>
              <w:pStyle w:val="af3"/>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pPr>
              <w:snapToGrid w:val="0"/>
              <w:rPr>
                <w:rFonts w:cs="Arial"/>
                <w:b/>
                <w:bCs/>
                <w:snapToGrid w:val="0"/>
                <w:sz w:val="20"/>
                <w:szCs w:val="20"/>
              </w:rPr>
            </w:pPr>
          </w:p>
        </w:tc>
      </w:tr>
    </w:tbl>
    <w:p>
      <w:pPr>
        <w:rPr>
          <w:sz w:val="20"/>
          <w:szCs w:val="20"/>
          <w:lang w:val="en-GB" w:eastAsia="zh-CN"/>
        </w:rPr>
      </w:pPr>
    </w:p>
    <w:p>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lastRenderedPageBreak/>
              <w:t>Q 2.5.2: In case of CG, do companies agree that there is no need for contention resolution since dedicated resources are used in the same serving cell – i.e. no cell change?</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Absolutely yes.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pPr>
              <w:snapToGrid w:val="0"/>
              <w:rPr>
                <w:rFonts w:cs="Arial"/>
                <w:b/>
                <w:bCs/>
                <w:snapToGrid w:val="0"/>
                <w:sz w:val="20"/>
                <w:szCs w:val="20"/>
              </w:rPr>
            </w:pPr>
          </w:p>
        </w:tc>
      </w:tr>
    </w:tbl>
    <w:p>
      <w:pPr>
        <w:rPr>
          <w:sz w:val="20"/>
          <w:szCs w:val="20"/>
          <w:lang w:val="en-GB" w:eastAsia="zh-CN"/>
        </w:rPr>
      </w:pPr>
    </w:p>
    <w:p>
      <w:pPr>
        <w:rPr>
          <w:sz w:val="20"/>
          <w:szCs w:val="20"/>
          <w:lang w:val="en-GB" w:eastAsia="zh-CN"/>
        </w:rPr>
      </w:pPr>
    </w:p>
    <w:p>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pPr>
        <w:rPr>
          <w:sz w:val="20"/>
          <w:szCs w:val="20"/>
          <w:lang w:val="en-GB" w:eastAsia="zh-CN"/>
        </w:rPr>
      </w:pP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We think C-RNTI can be used.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OPPO</w:t>
            </w:r>
          </w:p>
        </w:tc>
        <w:tc>
          <w:tcPr>
            <w:tcW w:w="9497" w:type="dxa"/>
          </w:tcPr>
          <w:p>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pPr>
              <w:snapToGrid w:val="0"/>
              <w:rPr>
                <w:rFonts w:cs="Arial"/>
                <w:b/>
                <w:bCs/>
                <w:snapToGrid w:val="0"/>
                <w:sz w:val="20"/>
                <w:szCs w:val="20"/>
              </w:rPr>
            </w:pPr>
          </w:p>
        </w:tc>
      </w:tr>
    </w:tbl>
    <w:p>
      <w:pPr>
        <w:rPr>
          <w:sz w:val="20"/>
          <w:szCs w:val="20"/>
          <w:lang w:val="en-GB" w:eastAsia="zh-CN"/>
        </w:rPr>
      </w:pPr>
    </w:p>
    <w:p>
      <w:pPr>
        <w:rPr>
          <w:sz w:val="20"/>
          <w:szCs w:val="20"/>
          <w:lang w:val="en-GB" w:eastAsia="zh-CN"/>
        </w:rPr>
      </w:pPr>
    </w:p>
    <w:p>
      <w:pPr>
        <w:pStyle w:val="1"/>
        <w:rPr>
          <w:snapToGrid w:val="0"/>
        </w:rPr>
      </w:pPr>
      <w:r>
        <w:rPr>
          <w:snapToGrid w:val="0"/>
        </w:rPr>
        <w:t>Other aspects with potential impact to other WGs</w:t>
      </w:r>
    </w:p>
    <w:p>
      <w:pPr>
        <w:pStyle w:val="2"/>
        <w:rPr>
          <w:snapToGrid w:val="0"/>
          <w:lang w:val="en-GB"/>
        </w:rPr>
      </w:pPr>
      <w:r>
        <w:rPr>
          <w:snapToGrid w:val="0"/>
          <w:lang w:val="en-GB"/>
        </w:rPr>
        <w:t>Resource configuration</w:t>
      </w:r>
    </w:p>
    <w:p>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pPr>
              <w:pStyle w:val="af3"/>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pPr>
              <w:pStyle w:val="af3"/>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Yes, both options should be allowed</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 xml:space="preserve">Mediatek </w:t>
            </w:r>
          </w:p>
        </w:tc>
        <w:tc>
          <w:tcPr>
            <w:tcW w:w="9497" w:type="dxa"/>
          </w:tcPr>
          <w:p>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pPr>
              <w:snapToGrid w:val="0"/>
              <w:rPr>
                <w:rFonts w:cs="Arial"/>
                <w:b/>
                <w:bCs/>
                <w:snapToGrid w:val="0"/>
                <w:sz w:val="20"/>
                <w:szCs w:val="20"/>
              </w:rPr>
            </w:pPr>
          </w:p>
        </w:tc>
      </w:tr>
    </w:tbl>
    <w:p>
      <w:pPr>
        <w:rPr>
          <w:lang w:val="en-GB" w:eastAsia="zh-CN"/>
        </w:rPr>
      </w:pPr>
    </w:p>
    <w:p>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rPr>
          <w:trHeight w:val="306"/>
        </w:trP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highlight w:val="green"/>
              </w:rPr>
            </w:pPr>
            <w:r>
              <w:rPr>
                <w:rFonts w:cs="Arial"/>
                <w:snapToGrid w:val="0"/>
                <w:sz w:val="20"/>
                <w:szCs w:val="20"/>
              </w:rPr>
              <w:t xml:space="preserve">Yes, </w:t>
            </w:r>
          </w:p>
          <w:p>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pPr>
              <w:snapToGrid w:val="0"/>
              <w:rPr>
                <w:rFonts w:cs="Arial"/>
                <w:snapToGrid w:val="0"/>
                <w:sz w:val="20"/>
                <w:szCs w:val="20"/>
              </w:rPr>
            </w:pPr>
            <w:r>
              <w:rPr>
                <w:rFonts w:cs="Arial"/>
                <w:snapToGrid w:val="0"/>
                <w:sz w:val="20"/>
                <w:szCs w:val="20"/>
              </w:rPr>
              <w:lastRenderedPageBreak/>
              <w:t xml:space="preserve">The above mentioned methods through separate RNTI or separate COREST/search space are workable and need to be evaluated by RAN1.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pPr>
              <w:snapToGrid w:val="0"/>
              <w:rPr>
                <w:rFonts w:cs="Arial"/>
                <w:b/>
                <w:bCs/>
                <w:snapToGrid w:val="0"/>
                <w:sz w:val="20"/>
                <w:szCs w:val="20"/>
              </w:rPr>
            </w:pPr>
          </w:p>
        </w:tc>
      </w:tr>
    </w:tbl>
    <w:p>
      <w:pPr>
        <w:rPr>
          <w:lang w:val="en-GB" w:eastAsia="zh-CN"/>
        </w:rPr>
      </w:pPr>
    </w:p>
    <w:p>
      <w:pPr>
        <w:pStyle w:val="2"/>
        <w:rPr>
          <w:snapToGrid w:val="0"/>
          <w:lang w:val="en-GB"/>
        </w:rPr>
      </w:pPr>
      <w:r>
        <w:rPr>
          <w:snapToGrid w:val="0"/>
          <w:lang w:val="en-GB"/>
        </w:rPr>
        <w:t>Cell reselection and failure handling</w:t>
      </w:r>
    </w:p>
    <w:p>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(provide value range)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pPr>
              <w:snapToGrid w:val="0"/>
              <w:rPr>
                <w:rFonts w:eastAsia="SimSun" w:cs="Arial"/>
                <w:snapToGrid w:val="0"/>
                <w:sz w:val="20"/>
                <w:szCs w:val="20"/>
                <w:lang w:eastAsia="zh-CN"/>
              </w:rPr>
            </w:pP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pPr>
              <w:snapToGrid w:val="0"/>
              <w:rPr>
                <w:rFonts w:cs="Arial"/>
                <w:b/>
                <w:bCs/>
                <w:snapToGrid w:val="0"/>
                <w:sz w:val="20"/>
                <w:szCs w:val="20"/>
              </w:rPr>
            </w:pPr>
          </w:p>
        </w:tc>
      </w:tr>
    </w:tbl>
    <w:p>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Yes (we can rely on T319) / No (explain)</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c>
          <w:tcPr>
            <w:tcW w:w="1555" w:type="dxa"/>
          </w:tcPr>
          <w:p>
            <w:pPr>
              <w:snapToGrid w:val="0"/>
              <w:rPr>
                <w:rFonts w:cs="Arial"/>
                <w:snapToGrid w:val="0"/>
                <w:sz w:val="20"/>
                <w:szCs w:val="20"/>
              </w:rPr>
            </w:pPr>
            <w:r>
              <w:rPr>
                <w:rFonts w:cs="Arial"/>
                <w:snapToGrid w:val="0"/>
                <w:sz w:val="20"/>
                <w:szCs w:val="20"/>
              </w:rPr>
              <w:t>ZTE</w:t>
            </w:r>
          </w:p>
        </w:tc>
        <w:tc>
          <w:tcPr>
            <w:tcW w:w="9497" w:type="dxa"/>
          </w:tcPr>
          <w:p>
            <w:pPr>
              <w:snapToGrid w:val="0"/>
              <w:rPr>
                <w:rFonts w:cs="Arial"/>
                <w:snapToGrid w:val="0"/>
                <w:sz w:val="20"/>
                <w:szCs w:val="20"/>
              </w:rPr>
            </w:pPr>
            <w:r>
              <w:rPr>
                <w:rFonts w:cs="Arial"/>
                <w:snapToGrid w:val="0"/>
                <w:sz w:val="20"/>
                <w:szCs w:val="20"/>
              </w:rPr>
              <w:t xml:space="preserve">Yes, we think this is sufficient.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pPr>
              <w:snapToGrid w:val="0"/>
              <w:rPr>
                <w:rFonts w:cs="Arial"/>
                <w:b/>
                <w:bCs/>
                <w:snapToGrid w:val="0"/>
                <w:sz w:val="20"/>
                <w:szCs w:val="20"/>
              </w:rPr>
            </w:pPr>
          </w:p>
        </w:tc>
      </w:tr>
    </w:tbl>
    <w:p>
      <w:pPr>
        <w:rPr>
          <w:sz w:val="20"/>
          <w:szCs w:val="20"/>
          <w:lang w:val="en-GB" w:eastAsia="zh-CN"/>
        </w:rPr>
      </w:pPr>
    </w:p>
    <w:p>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tc>
          <w:tcPr>
            <w:tcW w:w="15866" w:type="dxa"/>
            <w:gridSpan w:val="3"/>
          </w:tcPr>
          <w:p>
            <w:pPr>
              <w:snapToGrid w:val="0"/>
              <w:rPr>
                <w:rFonts w:cs="Arial"/>
                <w:b/>
                <w:bCs/>
                <w:snapToGrid w:val="0"/>
                <w:sz w:val="20"/>
                <w:szCs w:val="20"/>
              </w:rPr>
            </w:pPr>
            <w:r>
              <w:rPr>
                <w:rFonts w:cs="Arial"/>
                <w:b/>
                <w:bCs/>
                <w:snapToGrid w:val="0"/>
                <w:sz w:val="20"/>
                <w:szCs w:val="20"/>
              </w:rPr>
              <w:t>Q 3.2.3: How to handle cell reselection during T319 for the case of SDT</w:t>
            </w:r>
          </w:p>
          <w:p>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pPr>
              <w:snapToGrid w:val="0"/>
              <w:rPr>
                <w:rFonts w:cs="Arial"/>
                <w:b/>
                <w:bCs/>
                <w:snapToGrid w:val="0"/>
                <w:sz w:val="20"/>
                <w:szCs w:val="20"/>
              </w:rPr>
            </w:pPr>
          </w:p>
        </w:tc>
      </w:tr>
      <w:tr>
        <w:tc>
          <w:tcPr>
            <w:tcW w:w="1555" w:type="dxa"/>
          </w:tcPr>
          <w:p>
            <w:pPr>
              <w:snapToGrid w:val="0"/>
              <w:rPr>
                <w:rFonts w:cs="Arial"/>
                <w:b/>
                <w:bCs/>
                <w:snapToGrid w:val="0"/>
                <w:sz w:val="20"/>
                <w:szCs w:val="20"/>
              </w:rPr>
            </w:pPr>
            <w:r>
              <w:rPr>
                <w:rFonts w:cs="Arial"/>
                <w:b/>
                <w:bCs/>
                <w:snapToGrid w:val="0"/>
                <w:sz w:val="20"/>
                <w:szCs w:val="20"/>
              </w:rPr>
              <w:t>Company</w:t>
            </w:r>
          </w:p>
        </w:tc>
        <w:tc>
          <w:tcPr>
            <w:tcW w:w="9497" w:type="dxa"/>
          </w:tcPr>
          <w:p>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pPr>
              <w:snapToGrid w:val="0"/>
              <w:rPr>
                <w:rFonts w:cs="Arial"/>
                <w:b/>
                <w:bCs/>
                <w:snapToGrid w:val="0"/>
                <w:sz w:val="20"/>
                <w:szCs w:val="20"/>
              </w:rPr>
            </w:pPr>
            <w:r>
              <w:rPr>
                <w:rFonts w:cs="Arial"/>
                <w:b/>
                <w:bCs/>
                <w:snapToGrid w:val="0"/>
                <w:sz w:val="20"/>
                <w:szCs w:val="20"/>
              </w:rPr>
              <w:t>Rapporteur summary</w:t>
            </w:r>
          </w:p>
        </w:tc>
      </w:tr>
      <w:tr>
        <w:trPr>
          <w:trHeight w:val="3811"/>
        </w:trPr>
        <w:tc>
          <w:tcPr>
            <w:tcW w:w="1555" w:type="dxa"/>
          </w:tcPr>
          <w:p>
            <w:pPr>
              <w:snapToGrid w:val="0"/>
              <w:rPr>
                <w:rFonts w:cs="Arial"/>
                <w:snapToGrid w:val="0"/>
                <w:sz w:val="20"/>
                <w:szCs w:val="20"/>
              </w:rPr>
            </w:pPr>
            <w:r>
              <w:rPr>
                <w:rFonts w:cs="Arial"/>
                <w:snapToGrid w:val="0"/>
                <w:sz w:val="20"/>
                <w:szCs w:val="20"/>
              </w:rPr>
              <w:lastRenderedPageBreak/>
              <w:t>ZTE</w:t>
            </w:r>
          </w:p>
        </w:tc>
        <w:tc>
          <w:tcPr>
            <w:tcW w:w="9497" w:type="dxa"/>
          </w:tcPr>
          <w:p>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pPr>
              <w:snapToGrid w:val="0"/>
              <w:rPr>
                <w:rFonts w:cs="Arial"/>
                <w:snapToGrid w:val="0"/>
                <w:sz w:val="20"/>
                <w:szCs w:val="20"/>
              </w:rPr>
            </w:pPr>
            <w:r>
              <w:rPr>
                <w:rFonts w:cs="Arial"/>
                <w:snapToGrid w:val="0"/>
                <w:sz w:val="20"/>
                <w:szCs w:val="20"/>
              </w:rPr>
              <w:t xml:space="preserve">If option 2 is to be pursued, the following basic design can be used: </w:t>
            </w:r>
          </w:p>
          <w:p>
            <w:pPr>
              <w:pStyle w:val="af3"/>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pPr>
              <w:pStyle w:val="af3"/>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pPr>
              <w:pStyle w:val="af3"/>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pPr>
              <w:pStyle w:val="af3"/>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pPr>
              <w:pStyle w:val="af3"/>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snapToGrid w:val="0"/>
                <w:sz w:val="20"/>
                <w:szCs w:val="20"/>
              </w:rPr>
              <w:t>Mediatek</w:t>
            </w:r>
          </w:p>
        </w:tc>
        <w:tc>
          <w:tcPr>
            <w:tcW w:w="9497" w:type="dxa"/>
          </w:tcPr>
          <w:p>
            <w:pPr>
              <w:snapToGrid w:val="0"/>
              <w:rPr>
                <w:rFonts w:cs="Arial"/>
                <w:snapToGrid w:val="0"/>
                <w:sz w:val="20"/>
                <w:szCs w:val="20"/>
              </w:rPr>
            </w:pPr>
            <w:r>
              <w:rPr>
                <w:rFonts w:cs="Arial"/>
                <w:snapToGrid w:val="0"/>
                <w:sz w:val="20"/>
                <w:szCs w:val="20"/>
              </w:rPr>
              <w:t xml:space="preserve">Option1 is the baseline. </w:t>
            </w:r>
          </w:p>
          <w:p>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pPr>
              <w:snapToGrid w:val="0"/>
              <w:rPr>
                <w:rFonts w:cs="Arial"/>
                <w:b/>
                <w:bCs/>
                <w:snapToGrid w:val="0"/>
                <w:sz w:val="20"/>
                <w:szCs w:val="20"/>
              </w:rPr>
            </w:pPr>
          </w:p>
        </w:tc>
      </w:tr>
      <w:tr>
        <w:tc>
          <w:tcPr>
            <w:tcW w:w="1555" w:type="dxa"/>
          </w:tcPr>
          <w:p>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pPr>
              <w:snapToGrid w:val="0"/>
              <w:rPr>
                <w:rFonts w:cs="Arial"/>
                <w:b/>
                <w:bCs/>
                <w:snapToGrid w:val="0"/>
                <w:sz w:val="20"/>
                <w:szCs w:val="20"/>
              </w:rPr>
            </w:pPr>
          </w:p>
        </w:tc>
      </w:tr>
      <w:tr>
        <w:tc>
          <w:tcPr>
            <w:tcW w:w="1555" w:type="dxa"/>
          </w:tcPr>
          <w:p>
            <w:pPr>
              <w:snapToGrid w:val="0"/>
              <w:rPr>
                <w:rFonts w:cs="Arial"/>
                <w:snapToGrid w:val="0"/>
                <w:sz w:val="20"/>
                <w:szCs w:val="20"/>
              </w:rPr>
            </w:pPr>
            <w:r>
              <w:rPr>
                <w:rFonts w:cs="Arial" w:hint="eastAsia"/>
                <w:snapToGrid w:val="0"/>
                <w:sz w:val="20"/>
                <w:szCs w:val="20"/>
              </w:rPr>
              <w:t>LG</w:t>
            </w:r>
          </w:p>
        </w:tc>
        <w:tc>
          <w:tcPr>
            <w:tcW w:w="9497" w:type="dxa"/>
          </w:tcPr>
          <w:p>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pPr>
              <w:snapToGrid w:val="0"/>
              <w:rPr>
                <w:rFonts w:cs="Arial"/>
                <w:b/>
                <w:bCs/>
                <w:snapToGrid w:val="0"/>
                <w:sz w:val="20"/>
                <w:szCs w:val="20"/>
              </w:rPr>
            </w:pPr>
          </w:p>
        </w:tc>
      </w:tr>
    </w:tbl>
    <w:p>
      <w:pPr>
        <w:rPr>
          <w:sz w:val="20"/>
          <w:szCs w:val="20"/>
          <w:lang w:val="en-GB" w:eastAsia="zh-CN"/>
        </w:rPr>
      </w:pPr>
    </w:p>
    <w:p>
      <w:pPr>
        <w:pStyle w:val="1"/>
        <w:rPr>
          <w:snapToGrid w:val="0"/>
        </w:rPr>
      </w:pPr>
      <w:r>
        <w:rPr>
          <w:snapToGrid w:val="0"/>
        </w:rPr>
        <w:t>Conclusion and proposals</w:t>
      </w:r>
    </w:p>
    <w:p>
      <w:pPr>
        <w:rPr>
          <w:lang w:val="en-GB" w:eastAsia="en-GB"/>
        </w:rPr>
      </w:pPr>
      <w:r>
        <w:rPr>
          <w:highlight w:val="yellow"/>
          <w:lang w:val="en-GB" w:eastAsia="en-GB"/>
        </w:rPr>
        <w:t>TBD</w:t>
      </w:r>
    </w:p>
    <w:p>
      <w:pPr>
        <w:rPr>
          <w:sz w:val="20"/>
          <w:szCs w:val="20"/>
          <w:lang w:val="en-GB" w:eastAsia="zh-CN"/>
        </w:rPr>
      </w:pPr>
    </w:p>
    <w:p>
      <w:pPr>
        <w:rPr>
          <w:sz w:val="20"/>
          <w:szCs w:val="20"/>
          <w:lang w:eastAsia="zh-CN"/>
        </w:rPr>
      </w:pPr>
    </w:p>
    <w:p>
      <w:pPr>
        <w:pStyle w:val="1"/>
        <w:rPr>
          <w:snapToGrid w:val="0"/>
        </w:rPr>
      </w:pPr>
      <w:r>
        <w:rPr>
          <w:snapToGrid w:val="0"/>
        </w:rPr>
        <w:lastRenderedPageBreak/>
        <w:t>References</w:t>
      </w:r>
    </w:p>
    <w:p>
      <w:pPr>
        <w:pStyle w:val="af3"/>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pPr>
        <w:pStyle w:val="af3"/>
        <w:ind w:left="360"/>
        <w:rPr>
          <w:lang w:val="en-GB" w:eastAsia="en-GB"/>
        </w:rPr>
      </w:pPr>
    </w:p>
    <w:p>
      <w:pPr>
        <w:pStyle w:val="1"/>
        <w:rPr>
          <w:snapToGrid w:val="0"/>
        </w:rPr>
      </w:pPr>
      <w:r>
        <w:rPr>
          <w:snapToGrid w:val="0"/>
        </w:rPr>
        <w:t>Annex (contact details for email discussions)</w:t>
      </w:r>
    </w:p>
    <w:tbl>
      <w:tblPr>
        <w:tblStyle w:val="ad"/>
        <w:tblW w:w="15867" w:type="dxa"/>
        <w:tblLayout w:type="fixed"/>
        <w:tblLook w:val="04A0" w:firstRow="1" w:lastRow="0" w:firstColumn="1" w:lastColumn="0" w:noHBand="0" w:noVBand="1"/>
      </w:tblPr>
      <w:tblGrid>
        <w:gridCol w:w="2689"/>
        <w:gridCol w:w="7889"/>
        <w:gridCol w:w="5289"/>
      </w:tblGrid>
      <w:tr>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c>
          <w:tcPr>
            <w:tcW w:w="2689" w:type="dxa"/>
          </w:tcPr>
          <w:p>
            <w:pPr>
              <w:rPr>
                <w:lang w:val="en-GB" w:eastAsia="en-GB"/>
              </w:rPr>
            </w:pPr>
            <w:r>
              <w:rPr>
                <w:lang w:val="en-GB" w:eastAsia="en-GB"/>
              </w:rPr>
              <w:t>Mediatek</w:t>
            </w:r>
          </w:p>
        </w:tc>
        <w:tc>
          <w:tcPr>
            <w:tcW w:w="7889" w:type="dxa"/>
          </w:tcPr>
          <w:p>
            <w:pPr>
              <w:rPr>
                <w:lang w:val="en-GB" w:eastAsia="en-GB"/>
              </w:rPr>
            </w:pPr>
            <w:r>
              <w:rPr>
                <w:lang w:val="en-GB" w:eastAsia="en-GB"/>
              </w:rPr>
              <w:t>Yuanyuan Zhang</w:t>
            </w:r>
          </w:p>
        </w:tc>
        <w:tc>
          <w:tcPr>
            <w:tcW w:w="5289" w:type="dxa"/>
          </w:tcPr>
          <w:p>
            <w:pPr>
              <w:rPr>
                <w:lang w:val="en-GB" w:eastAsia="en-GB"/>
              </w:rPr>
            </w:pPr>
            <w:r>
              <w:rPr>
                <w:lang w:val="en-GB" w:eastAsia="en-GB"/>
              </w:rPr>
              <w:t>Yuany.zhang@mediatek.com</w:t>
            </w:r>
          </w:p>
        </w:tc>
      </w:tr>
      <w:tr>
        <w:tc>
          <w:tcPr>
            <w:tcW w:w="2689" w:type="dxa"/>
          </w:tcPr>
          <w:p>
            <w:pPr>
              <w:rPr>
                <w:lang w:val="en-GB"/>
              </w:rPr>
            </w:pPr>
            <w:bookmarkStart w:id="3" w:name="_GoBack" w:colFirst="0" w:colLast="0"/>
            <w:r>
              <w:rPr>
                <w:rFonts w:hint="eastAsia"/>
                <w:lang w:val="en-GB"/>
              </w:rPr>
              <w:t>LG</w:t>
            </w:r>
          </w:p>
        </w:tc>
        <w:tc>
          <w:tcPr>
            <w:tcW w:w="7889" w:type="dxa"/>
          </w:tcPr>
          <w:p>
            <w:pPr>
              <w:rPr>
                <w:lang w:val="en-GB"/>
              </w:rPr>
            </w:pPr>
            <w:r>
              <w:rPr>
                <w:rFonts w:hint="eastAsia"/>
                <w:lang w:val="en-GB"/>
              </w:rPr>
              <w:t>SeungJune Yi</w:t>
            </w:r>
          </w:p>
        </w:tc>
        <w:tc>
          <w:tcPr>
            <w:tcW w:w="5289" w:type="dxa"/>
          </w:tcPr>
          <w:p>
            <w:pPr>
              <w:rPr>
                <w:lang w:val="en-GB"/>
              </w:rPr>
            </w:pPr>
            <w:r>
              <w:rPr>
                <w:lang w:val="en-GB"/>
              </w:rPr>
              <w:t>s</w:t>
            </w:r>
            <w:r>
              <w:rPr>
                <w:rFonts w:hint="eastAsia"/>
                <w:lang w:val="en-GB"/>
              </w:rPr>
              <w:t>eungjune.</w:t>
            </w:r>
            <w:r>
              <w:rPr>
                <w:lang w:val="en-GB"/>
              </w:rPr>
              <w:t>yi@lge.com</w:t>
            </w:r>
          </w:p>
        </w:tc>
      </w:tr>
      <w:bookmarkEnd w:id="3"/>
    </w:tbl>
    <w:p>
      <w:pPr>
        <w:rPr>
          <w:lang w:val="en-GB" w:eastAsia="en-GB"/>
        </w:rPr>
      </w:pPr>
    </w:p>
    <w:p>
      <w:pPr>
        <w:pStyle w:val="af3"/>
        <w:ind w:left="360"/>
        <w:rPr>
          <w:lang w:val="en-GB" w:eastAsia="en-GB"/>
        </w:rPr>
      </w:pPr>
    </w:p>
    <w:sectPr>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CAA328-80CB-4051-88E6-40CBE7D2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굴림"/>
      <w:sz w:val="24"/>
      <w:szCs w:val="24"/>
      <w:lang w:val="en-US"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qFormat/>
    <w:pPr>
      <w:jc w:val="center"/>
    </w:pPr>
    <w:rPr>
      <w:i/>
      <w:lang w:val="zh-CN" w:eastAsia="zh-CN"/>
    </w:rPr>
  </w:style>
  <w:style w:type="paragraph" w:styleId="a9">
    <w:name w:val="header"/>
    <w:link w:val="Char2"/>
    <w:qFormat/>
    <w:pPr>
      <w:widowControl w:val="0"/>
      <w:overflowPunct w:val="0"/>
      <w:autoSpaceDE w:val="0"/>
      <w:autoSpaceDN w:val="0"/>
      <w:adjustRightInd w:val="0"/>
      <w:textAlignment w:val="baseline"/>
    </w:pPr>
    <w:rPr>
      <w:rFonts w:ascii="Arial" w:hAnsi="Arial"/>
      <w:b/>
      <w:sz w:val="18"/>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20"/>
    <w:qFormat/>
    <w:rPr>
      <w:i/>
      <w:iCs/>
    </w:rPr>
  </w:style>
  <w:style w:type="character" w:styleId="af0">
    <w:name w:val="Hyperlink"/>
    <w:uiPriority w:val="99"/>
    <w:qFormat/>
    <w:rPr>
      <w:color w:val="0000FF"/>
      <w:u w:val="single"/>
    </w:rPr>
  </w:style>
  <w:style w:type="character" w:styleId="af1">
    <w:name w:val="annotation reference"/>
    <w:rPr>
      <w:sz w:val="16"/>
      <w:szCs w:val="16"/>
    </w:rPr>
  </w:style>
  <w:style w:type="character" w:styleId="af2">
    <w:name w:val="footnote reference"/>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Char2">
    <w:name w:val="머리글 Char"/>
    <w:link w:val="a9"/>
    <w:rPr>
      <w:rFonts w:eastAsia="Times New Roman"/>
      <w:b/>
      <w:kern w:val="0"/>
      <w:sz w:val="18"/>
      <w:szCs w:val="20"/>
      <w:lang w:eastAsia="en-GB"/>
    </w:rPr>
  </w:style>
  <w:style w:type="character" w:customStyle="1" w:styleId="Char1">
    <w:name w:val="바닥글 Char"/>
    <w:link w:val="a8"/>
    <w:rPr>
      <w:rFonts w:eastAsia="Times New Roman"/>
      <w:b/>
      <w:i/>
      <w:kern w:val="0"/>
      <w:sz w:val="18"/>
      <w:szCs w:val="20"/>
      <w:lang w:val="zh-CN" w:eastAsia="zh-CN"/>
    </w:rPr>
  </w:style>
  <w:style w:type="character" w:customStyle="1" w:styleId="Char3">
    <w:name w:val="각주 텍스트 Char"/>
    <w:link w:val="aa"/>
    <w:rPr>
      <w:rFonts w:ascii="Times New Roman" w:eastAsia="Times New Roman" w:hAnsi="Times New Roman"/>
      <w:kern w:val="0"/>
      <w:sz w:val="16"/>
      <w:szCs w:val="20"/>
      <w:lang w:val="zh-CN" w:eastAsia="zh-CN"/>
    </w:rPr>
  </w:style>
  <w:style w:type="paragraph" w:customStyle="1" w:styleId="FP">
    <w:name w:val="FP"/>
    <w:basedOn w:val="a"/>
  </w:style>
  <w:style w:type="character" w:customStyle="1" w:styleId="1Char">
    <w:name w:val="제목 1 Char"/>
    <w:link w:val="1"/>
    <w:rPr>
      <w:rFonts w:eastAsia="Times New Roman"/>
      <w:kern w:val="0"/>
      <w:sz w:val="36"/>
      <w:szCs w:val="20"/>
      <w:lang w:eastAsia="en-GB"/>
    </w:rPr>
  </w:style>
  <w:style w:type="character" w:customStyle="1" w:styleId="2Char">
    <w:name w:val="제목 2 Char"/>
    <w:link w:val="2"/>
    <w:rPr>
      <w:rFonts w:eastAsia="Times New Roman"/>
      <w:kern w:val="0"/>
      <w:sz w:val="32"/>
      <w:szCs w:val="20"/>
      <w:lang w:val="zh-CN" w:eastAsia="zh-CN"/>
    </w:rPr>
  </w:style>
  <w:style w:type="character" w:customStyle="1" w:styleId="3Char">
    <w:name w:val="제목 3 Char"/>
    <w:link w:val="3"/>
    <w:rPr>
      <w:rFonts w:eastAsia="Times New Roman"/>
      <w:kern w:val="0"/>
      <w:sz w:val="28"/>
      <w:szCs w:val="20"/>
      <w:lang w:val="zh-CN" w:eastAsia="zh-CN"/>
    </w:rPr>
  </w:style>
  <w:style w:type="character" w:customStyle="1" w:styleId="4Char">
    <w:name w:val="제목 4 Char"/>
    <w:link w:val="4"/>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3">
    <w:name w:val="List Paragraph"/>
    <w:basedOn w:val="a"/>
    <w:link w:val="Char5"/>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character" w:customStyle="1" w:styleId="Char0">
    <w:name w:val="풍선 도움말 텍스트 Char"/>
    <w:basedOn w:val="a0"/>
    <w:link w:val="a7"/>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메모 텍스트 Char"/>
    <w:basedOn w:val="a0"/>
    <w:link w:val="a6"/>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메모 주제 Char"/>
    <w:basedOn w:val="Char"/>
    <w:link w:val="ac"/>
    <w:uiPriority w:val="99"/>
    <w:semiHidden/>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5">
    <w:name w:val="목록 단락 Char"/>
    <w:link w:val="af3"/>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rPr>
      <w:rFonts w:eastAsia="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4.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20F761A-5AFF-459E-8E99-0EFDC35B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4479</Words>
  <Characters>25533</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4</cp:revision>
  <dcterms:created xsi:type="dcterms:W3CDTF">2020-09-28T05:15:00Z</dcterms:created>
  <dcterms:modified xsi:type="dcterms:W3CDTF">2020-09-28T06:26:00Z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