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610849">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610849">
            <w:pPr>
              <w:jc w:val="both"/>
              <w:rPr>
                <w:rFonts w:eastAsia="宋体" w:hint="eastAsia"/>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610849">
            <w:pPr>
              <w:jc w:val="both"/>
              <w:rPr>
                <w:rFonts w:eastAsia="宋体" w:hint="eastAsia"/>
                <w:lang w:val="en-US" w:eastAsia="zh-CN"/>
              </w:rPr>
            </w:pPr>
            <w:r>
              <w:rPr>
                <w:rFonts w:eastAsia="宋体" w:hint="eastAsia"/>
                <w:lang w:val="en-US" w:eastAsia="zh-CN"/>
              </w:rPr>
              <w:t>N</w:t>
            </w:r>
            <w:r>
              <w:rPr>
                <w:rFonts w:eastAsia="宋体"/>
                <w:lang w:val="en-US" w:eastAsia="zh-CN"/>
              </w:rPr>
              <w:t>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3155DE">
        <w:fldChar w:fldCharType="begin"/>
      </w:r>
      <w:r w:rsidR="003155DE">
        <w:instrText xml:space="preserve"> SEQ Figure \* ARABIC </w:instrText>
      </w:r>
      <w:r w:rsidR="003155DE">
        <w:fldChar w:fldCharType="separate"/>
      </w:r>
      <w:r>
        <w:rPr>
          <w:noProof/>
        </w:rPr>
        <w:t>1</w:t>
      </w:r>
      <w:r w:rsidR="003155DE">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3155DE">
        <w:fldChar w:fldCharType="begin"/>
      </w:r>
      <w:r w:rsidR="003155DE">
        <w:instrText xml:space="preserve"> S</w:instrText>
      </w:r>
      <w:r w:rsidR="003155DE">
        <w:instrText xml:space="preserve">EQ Figure \* ARABIC </w:instrText>
      </w:r>
      <w:r w:rsidR="003155DE">
        <w:fldChar w:fldCharType="separate"/>
      </w:r>
      <w:r>
        <w:rPr>
          <w:noProof/>
        </w:rPr>
        <w:t>2</w:t>
      </w:r>
      <w:r w:rsidR="003155DE">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lastRenderedPageBreak/>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610849">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610849"/>
        </w:tc>
        <w:tc>
          <w:tcPr>
            <w:tcW w:w="5670" w:type="dxa"/>
          </w:tcPr>
          <w:p w14:paraId="2DDBB77D" w14:textId="77777777" w:rsidR="00F82358" w:rsidRPr="00F00C1C" w:rsidRDefault="00F82358" w:rsidP="00610849">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610849">
            <w:pPr>
              <w:rPr>
                <w:rFonts w:eastAsia="宋体" w:hint="eastAsia"/>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610849">
            <w:pPr>
              <w:rPr>
                <w:rFonts w:eastAsiaTheme="minorEastAsia" w:hint="eastAsia"/>
                <w:lang w:eastAsia="ja-JP"/>
              </w:rPr>
            </w:pPr>
          </w:p>
        </w:tc>
        <w:tc>
          <w:tcPr>
            <w:tcW w:w="567" w:type="dxa"/>
          </w:tcPr>
          <w:p w14:paraId="30A46336" w14:textId="57743762" w:rsidR="00674D17" w:rsidRPr="00674D17" w:rsidRDefault="00674D17" w:rsidP="00610849">
            <w:pPr>
              <w:rPr>
                <w:rFonts w:eastAsia="宋体" w:hint="eastAsia"/>
                <w:lang w:eastAsia="zh-CN"/>
              </w:rPr>
            </w:pPr>
            <w:r>
              <w:rPr>
                <w:rFonts w:eastAsia="宋体" w:hint="eastAsia"/>
                <w:lang w:eastAsia="zh-CN"/>
              </w:rPr>
              <w:t>Y</w:t>
            </w:r>
          </w:p>
        </w:tc>
        <w:tc>
          <w:tcPr>
            <w:tcW w:w="567" w:type="dxa"/>
          </w:tcPr>
          <w:p w14:paraId="2D7EE60F" w14:textId="207D7EC0" w:rsidR="00674D17" w:rsidRPr="00674D17" w:rsidRDefault="00674D17" w:rsidP="00610849">
            <w:pPr>
              <w:rPr>
                <w:rFonts w:eastAsia="宋体" w:hint="eastAsia"/>
                <w:lang w:eastAsia="zh-CN"/>
              </w:rPr>
            </w:pPr>
            <w:r>
              <w:rPr>
                <w:rFonts w:eastAsia="宋体" w:hint="eastAsia"/>
                <w:lang w:eastAsia="zh-CN"/>
              </w:rPr>
              <w:t>Y</w:t>
            </w:r>
          </w:p>
        </w:tc>
        <w:tc>
          <w:tcPr>
            <w:tcW w:w="567" w:type="dxa"/>
          </w:tcPr>
          <w:p w14:paraId="784CA650" w14:textId="77777777" w:rsidR="00674D17" w:rsidRPr="00F00C1C" w:rsidRDefault="00674D17" w:rsidP="00610849"/>
        </w:tc>
        <w:tc>
          <w:tcPr>
            <w:tcW w:w="5670" w:type="dxa"/>
          </w:tcPr>
          <w:p w14:paraId="2F95353D" w14:textId="0DF6F5E9" w:rsidR="00674D17" w:rsidRDefault="00674D17" w:rsidP="00610849">
            <w:pPr>
              <w:rPr>
                <w:rFonts w:eastAsiaTheme="minorEastAsia" w:hint="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5"/>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5"/>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af5"/>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5"/>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3155DE">
        <w:fldChar w:fldCharType="begin"/>
      </w:r>
      <w:r w:rsidR="003155DE">
        <w:instrText xml:space="preserve"> SEQ Figure \* ARABIC </w:instrText>
      </w:r>
      <w:r w:rsidR="003155DE">
        <w:fldChar w:fldCharType="separate"/>
      </w:r>
      <w:r w:rsidR="007306CE">
        <w:rPr>
          <w:noProof/>
        </w:rPr>
        <w:t>3</w:t>
      </w:r>
      <w:r w:rsidR="003155DE">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w:t>
            </w:r>
            <w:proofErr w:type="gramStart"/>
            <w:r>
              <w:rPr>
                <w:lang w:val="en-US"/>
              </w:rPr>
              <w:t>particular network</w:t>
            </w:r>
            <w:proofErr w:type="gramEnd"/>
            <w:r>
              <w:rPr>
                <w:lang w:val="en-US"/>
              </w:rPr>
              <w:t xml:space="preserve"> architecture as it is the choice of the network vendor and the deployment. In other words, RAN2 </w:t>
            </w:r>
            <w:proofErr w:type="gramStart"/>
            <w:r>
              <w:rPr>
                <w:lang w:val="en-US"/>
              </w:rPr>
              <w:t>has to</w:t>
            </w:r>
            <w:proofErr w:type="gramEnd"/>
            <w:r>
              <w:rPr>
                <w:lang w:val="en-US"/>
              </w:rPr>
              <w:t xml:space="preserve"> consider a network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w:t>
            </w:r>
            <w:proofErr w:type="gramStart"/>
            <w:r>
              <w:rPr>
                <w:lang w:val="en-US"/>
              </w:rPr>
              <w:t>similar to</w:t>
            </w:r>
            <w:proofErr w:type="gramEnd"/>
            <w:r>
              <w:rPr>
                <w:lang w:val="en-US"/>
              </w:rPr>
              <w:t xml:space="preserve">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lastRenderedPageBreak/>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w:t>
            </w:r>
            <w:proofErr w:type="gramStart"/>
            <w:r w:rsidR="00610D52">
              <w:rPr>
                <w:lang w:val="en-US"/>
              </w:rPr>
              <w:t>hall</w:t>
            </w:r>
            <w:proofErr w:type="gramEnd"/>
            <w:r w:rsidR="00610D52">
              <w:rPr>
                <w:lang w:val="en-US"/>
              </w:rPr>
              <w:t xml:space="preserve">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 xml:space="preserve">e </w:t>
            </w:r>
            <w:proofErr w:type="gramStart"/>
            <w:r w:rsidRPr="00610D52">
              <w:rPr>
                <w:lang w:val="en-US"/>
              </w:rPr>
              <w:t>don’t</w:t>
            </w:r>
            <w:proofErr w:type="gramEnd"/>
            <w:r w:rsidRPr="00610D52">
              <w:rPr>
                <w:lang w:val="en-US"/>
              </w:rPr>
              <w:t xml:space="preserve">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w:t>
            </w:r>
            <w:proofErr w:type="spellStart"/>
            <w:r w:rsidR="00F17312">
              <w:rPr>
                <w:rFonts w:eastAsia="宋体"/>
                <w:color w:val="171717"/>
              </w:rPr>
              <w:t>Uu</w:t>
            </w:r>
            <w:proofErr w:type="spellEnd"/>
            <w:r w:rsidR="00F17312">
              <w:rPr>
                <w:rFonts w:eastAsia="宋体"/>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610849">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610849">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w:t>
            </w:r>
            <w:r>
              <w:rPr>
                <w:rFonts w:eastAsiaTheme="minorEastAsia"/>
                <w:lang w:val="en-US" w:eastAsia="ja-JP"/>
              </w:rPr>
              <w:lastRenderedPageBreak/>
              <w:t xml:space="preserve">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610849">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610849">
            <w:pPr>
              <w:rPr>
                <w:rFonts w:eastAsiaTheme="minorEastAsia"/>
                <w:lang w:val="en-US" w:eastAsia="ja-JP"/>
              </w:rPr>
            </w:pPr>
            <w:r>
              <w:rPr>
                <w:rFonts w:eastAsiaTheme="minorEastAsia"/>
                <w:lang w:val="en-US" w:eastAsia="ja-JP"/>
              </w:rPr>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610849">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hint="eastAsia"/>
                <w:lang w:val="en-US" w:eastAsia="ja-JP"/>
              </w:rPr>
            </w:pPr>
            <w:r>
              <w:rPr>
                <w:rFonts w:eastAsia="宋体" w:hint="eastAsia"/>
                <w:lang w:val="en-US" w:eastAsia="zh-CN"/>
              </w:rPr>
              <w:t>Yes</w:t>
            </w:r>
          </w:p>
        </w:tc>
      </w:tr>
    </w:tbl>
    <w:p w14:paraId="74863D73" w14:textId="7903A56E" w:rsidR="00EC5D1D" w:rsidRPr="00127D1B"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w:t>
      </w:r>
      <w:proofErr w:type="spellStart"/>
      <w:r w:rsidRPr="00947E5D">
        <w:rPr>
          <w:rFonts w:eastAsia="宋体"/>
          <w:lang w:eastAsia="zh-CN"/>
        </w:rPr>
        <w:t>gNB</w:t>
      </w:r>
      <w:proofErr w:type="spellEnd"/>
      <w:r w:rsidRPr="00947E5D">
        <w:rPr>
          <w:rFonts w:eastAsia="宋体"/>
          <w:lang w:eastAsia="zh-CN"/>
        </w:rPr>
        <w:t xml:space="preserve">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w:t>
      </w:r>
      <w:proofErr w:type="spellStart"/>
      <w:r w:rsidRPr="00947E5D">
        <w:rPr>
          <w:rFonts w:eastAsia="宋体"/>
          <w:color w:val="171717"/>
        </w:rPr>
        <w:t>gNB</w:t>
      </w:r>
      <w:proofErr w:type="spellEnd"/>
      <w:r w:rsidRPr="00947E5D">
        <w:rPr>
          <w:rFonts w:eastAsia="宋体"/>
          <w:color w:val="171717"/>
        </w:rPr>
        <w:t xml:space="preserve"> are located within the same facility and potentially within the same rack. The connection between UPF (NW-TT) and </w:t>
      </w:r>
      <w:proofErr w:type="spellStart"/>
      <w:r w:rsidRPr="00947E5D">
        <w:rPr>
          <w:rFonts w:eastAsia="宋体"/>
          <w:color w:val="171717"/>
        </w:rPr>
        <w:t>gNB</w:t>
      </w:r>
      <w:proofErr w:type="spellEnd"/>
      <w:r w:rsidRPr="00947E5D">
        <w:rPr>
          <w:rFonts w:eastAsia="宋体"/>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w:t>
      </w:r>
      <w:proofErr w:type="spellStart"/>
      <w:r w:rsidR="00CF2EE8" w:rsidRPr="00947E5D">
        <w:rPr>
          <w:rFonts w:eastAsia="宋体"/>
          <w:lang w:eastAsia="zh-CN"/>
        </w:rPr>
        <w:t>gNB</w:t>
      </w:r>
      <w:proofErr w:type="spellEnd"/>
      <w:r w:rsidR="00CF2EE8" w:rsidRPr="00947E5D">
        <w:rPr>
          <w:rFonts w:eastAsia="宋体"/>
          <w:lang w:eastAsia="zh-CN"/>
        </w:rPr>
        <w:t xml:space="preserve">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lastRenderedPageBreak/>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w:t>
            </w:r>
            <w:proofErr w:type="spellStart"/>
            <w:r w:rsidRPr="0015146E">
              <w:rPr>
                <w:rFonts w:eastAsia="宋体"/>
                <w:color w:val="171717"/>
              </w:rPr>
              <w:t>gNB</w:t>
            </w:r>
            <w:proofErr w:type="spellEnd"/>
            <w:r w:rsidRPr="0015146E">
              <w:rPr>
                <w:rFonts w:eastAsia="宋体"/>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610849">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610849">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610849">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610849">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610849">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F860D1" w:rsidRDefault="00674D17" w:rsidP="00674D17">
            <w:pPr>
              <w:jc w:val="both"/>
              <w:rPr>
                <w:rFonts w:eastAsia="宋体"/>
                <w:lang w:val="en-US" w:eastAsia="zh-CN"/>
              </w:rPr>
            </w:pPr>
            <w:r w:rsidRPr="00F860D1">
              <w:rPr>
                <w:rFonts w:eastAsia="宋体"/>
                <w:lang w:val="en-US"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674D17">
            <w:pPr>
              <w:pStyle w:val="af5"/>
              <w:numPr>
                <w:ilvl w:val="0"/>
                <w:numId w:val="39"/>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w:t>
            </w:r>
            <w:proofErr w:type="spellStart"/>
            <w:r w:rsidRPr="00F860D1">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w:t>
            </w:r>
          </w:p>
          <w:p w14:paraId="2DA29176" w14:textId="77777777" w:rsidR="00674D17" w:rsidRDefault="00674D17" w:rsidP="00674D17">
            <w:pPr>
              <w:pStyle w:val="af5"/>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w:t>
            </w:r>
            <w:proofErr w:type="spellStart"/>
            <w:r>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 xml:space="preserve">,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宋体" w:hAnsi="Times New Roman" w:cs="Times New Roman"/>
                <w:lang w:val="en-US" w:eastAsia="zh-CN"/>
              </w:rPr>
            </w:pPr>
          </w:p>
          <w:p w14:paraId="03575281" w14:textId="77777777" w:rsidR="00674D17" w:rsidRPr="00F860D1" w:rsidRDefault="00674D17" w:rsidP="00674D17">
            <w:pPr>
              <w:pStyle w:val="af5"/>
              <w:jc w:val="both"/>
              <w:rPr>
                <w:rFonts w:ascii="Times New Roman" w:eastAsia="宋体" w:hAnsi="Times New Roman" w:cs="Times New Roman"/>
                <w:lang w:val="en-US" w:eastAsia="zh-CN"/>
              </w:rPr>
            </w:pPr>
          </w:p>
          <w:p w14:paraId="4804C41A" w14:textId="77777777" w:rsidR="00674D17" w:rsidRPr="00F860D1" w:rsidRDefault="00674D17" w:rsidP="00674D17">
            <w:pPr>
              <w:pStyle w:val="af5"/>
              <w:numPr>
                <w:ilvl w:val="0"/>
                <w:numId w:val="39"/>
              </w:numPr>
              <w:jc w:val="both"/>
              <w:rPr>
                <w:rFonts w:eastAsia="宋体"/>
                <w:lang w:val="en-US" w:eastAsia="zh-CN"/>
              </w:rPr>
            </w:pPr>
            <w:r w:rsidRPr="00F860D1">
              <w:rPr>
                <w:rFonts w:ascii="Times New Roman" w:eastAsia="宋体" w:hAnsi="Times New Roman" w:cs="Times New Roman"/>
                <w:lang w:val="en-US" w:eastAsia="zh-CN"/>
              </w:rPr>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hint="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w:t>
            </w:r>
            <w:proofErr w:type="spellStart"/>
            <w:r w:rsidRPr="00E46EA6">
              <w:rPr>
                <w:rFonts w:eastAsia="宋体"/>
                <w:lang w:val="en-US" w:eastAsia="zh-CN"/>
              </w:rPr>
              <w:t>gNB</w:t>
            </w:r>
            <w:proofErr w:type="spellEnd"/>
            <w:r w:rsidRPr="00E46EA6">
              <w:rPr>
                <w:rFonts w:eastAsia="宋体"/>
                <w:lang w:val="en-US" w:eastAsia="zh-CN"/>
              </w:rPr>
              <w:t>-CU,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 xml:space="preserve">This is true </w:t>
            </w:r>
            <w:proofErr w:type="gramStart"/>
            <w:r>
              <w:t>a</w:t>
            </w:r>
            <w:r w:rsidRPr="00DD27F6">
              <w:t>s long as</w:t>
            </w:r>
            <w:proofErr w:type="gramEnd"/>
            <w:r w:rsidRPr="00DD27F6">
              <w:t xml:space="preserve">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610849">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610849">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610849">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610849">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610849">
            <w:pPr>
              <w:rPr>
                <w:rFonts w:eastAsiaTheme="minorEastAsia"/>
                <w:lang w:val="en-US" w:eastAsia="ja-JP"/>
              </w:rPr>
            </w:pPr>
            <w:r>
              <w:rPr>
                <w:rFonts w:eastAsiaTheme="minorEastAsia"/>
                <w:lang w:val="en-US" w:eastAsia="ja-JP"/>
              </w:rPr>
              <w:lastRenderedPageBreak/>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610849">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hint="eastAsia"/>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bl>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610849">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610849">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610849">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w:t>
            </w:r>
            <w:r>
              <w:rPr>
                <w:lang w:val="en-US"/>
              </w:rPr>
              <w:lastRenderedPageBreak/>
              <w:t xml:space="preserve">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610849">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610849">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610849">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610849">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610849">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hint="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 xml:space="preserve">&lt; 20 </w:t>
      </w:r>
      <w:proofErr w:type="gramStart"/>
      <w:r w:rsidR="00036AE0">
        <w:rPr>
          <w:rFonts w:eastAsia="微软雅黑" w:cs="Arial"/>
          <w:color w:val="000000"/>
          <w:szCs w:val="18"/>
        </w:rPr>
        <w:t>km</w:t>
      </w:r>
      <w:r w:rsidR="00036AE0">
        <w:rPr>
          <w:rFonts w:eastAsia="微软雅黑" w:cs="Arial"/>
          <w:color w:val="000000"/>
          <w:szCs w:val="18"/>
          <w:vertAlign w:val="superscript"/>
        </w:rPr>
        <w:t>2</w:t>
      </w:r>
      <w:proofErr w:type="gramEnd"/>
      <w:r w:rsidR="00036AE0">
        <w:rPr>
          <w:rFonts w:eastAsia="微软雅黑" w:cs="Arial"/>
          <w:color w:val="000000"/>
          <w:szCs w:val="18"/>
          <w:vertAlign w:val="superscript"/>
        </w:rPr>
        <w:t xml:space="preserve">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w:t>
            </w:r>
            <w:r>
              <w:rPr>
                <w:lang w:val="en-US"/>
              </w:rPr>
              <w:lastRenderedPageBreak/>
              <w:t xml:space="preserve">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w:t>
            </w:r>
            <w:proofErr w:type="gramStart"/>
            <w:r w:rsidRPr="00F71794">
              <w:rPr>
                <w:rFonts w:hint="eastAsia"/>
              </w:rPr>
              <w:t>km</w:t>
            </w:r>
            <w:r w:rsidRPr="00C05B97">
              <w:rPr>
                <w:rFonts w:hint="eastAsia"/>
                <w:vertAlign w:val="superscript"/>
              </w:rPr>
              <w:t>2</w:t>
            </w:r>
            <w:proofErr w:type="gramEnd"/>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610849">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610849">
            <w:pPr>
              <w:jc w:val="both"/>
              <w:rPr>
                <w:rFonts w:eastAsiaTheme="minorEastAsia"/>
                <w:lang w:val="en-US" w:eastAsia="ja-JP"/>
              </w:rPr>
            </w:pPr>
            <w:r>
              <w:rPr>
                <w:rFonts w:eastAsiaTheme="minorEastAsia"/>
                <w:lang w:val="en-US" w:eastAsia="ja-JP"/>
              </w:rPr>
              <w:t xml:space="preserve">Fujitsu think </w:t>
            </w:r>
            <w:proofErr w:type="gramStart"/>
            <w:r>
              <w:rPr>
                <w:rFonts w:eastAsiaTheme="minorEastAsia"/>
                <w:lang w:val="en-US" w:eastAsia="ja-JP"/>
              </w:rPr>
              <w:t>what’s</w:t>
            </w:r>
            <w:proofErr w:type="gramEnd"/>
            <w:r>
              <w:rPr>
                <w:rFonts w:eastAsiaTheme="minorEastAsia"/>
                <w:lang w:val="en-US" w:eastAsia="ja-JP"/>
              </w:rPr>
              <w:t xml:space="preserve">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610849">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610849">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610849">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610849">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7816" w:type="dxa"/>
          </w:tcPr>
          <w:p w14:paraId="1BE685AF"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 xml:space="preserve">for the control-to-control and smart grid use </w:t>
      </w:r>
      <w:proofErr w:type="gramStart"/>
      <w:r w:rsidR="001134AC">
        <w:t>cases</w:t>
      </w:r>
      <w:proofErr w:type="gramEnd"/>
      <w:r w:rsidR="001134AC">
        <w:t xml:space="preserve">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宋体" w:hAnsi="Arial" w:cs="Arial"/>
                <w:lang w:val="en-US" w:eastAsia="zh-CN"/>
              </w:rPr>
              <w:t xml:space="preserve">Two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w:t>
            </w:r>
            <w:proofErr w:type="gramStart"/>
            <w:r>
              <w:rPr>
                <w:lang w:val="en-US"/>
              </w:rPr>
              <w:t xml:space="preserve">both </w:t>
            </w:r>
            <w:proofErr w:type="spellStart"/>
            <w:r>
              <w:rPr>
                <w:lang w:val="en-US"/>
              </w:rPr>
              <w:t>Uu</w:t>
            </w:r>
            <w:proofErr w:type="spellEnd"/>
            <w:proofErr w:type="gram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w:t>
            </w:r>
            <w:r>
              <w:rPr>
                <w:lang w:val="en-US"/>
              </w:rPr>
              <w:lastRenderedPageBreak/>
              <w:t>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lastRenderedPageBreak/>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 xml:space="preserve">Yes. We </w:t>
            </w:r>
            <w:proofErr w:type="gramStart"/>
            <w:r>
              <w:rPr>
                <w:lang w:val="en-US" w:eastAsia="ko-KR"/>
              </w:rPr>
              <w:t>don’t</w:t>
            </w:r>
            <w:proofErr w:type="gramEnd"/>
            <w:r>
              <w:rPr>
                <w:lang w:val="en-US" w:eastAsia="ko-KR"/>
              </w:rPr>
              <w:t xml:space="preserve">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668D0177" w:rsidR="00B86275" w:rsidRDefault="00B86275" w:rsidP="00B86275">
            <w:pPr>
              <w:jc w:val="both"/>
            </w:pPr>
            <w:r>
              <w:t xml:space="preserve">Multiple TRPs are part of the (e)MIMO scheme which is not considered in the </w:t>
            </w:r>
            <w:proofErr w:type="spellStart"/>
            <w:r>
              <w:t>IIoT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610849">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610849">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hint="eastAsia"/>
                <w:lang w:eastAsia="ja-JP"/>
              </w:rPr>
            </w:pPr>
            <w:r>
              <w:rPr>
                <w:rFonts w:eastAsia="宋体"/>
                <w:lang w:eastAsia="zh-CN"/>
              </w:rPr>
              <w:t>Agree with Ericsson</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lastRenderedPageBreak/>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7777777"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proofErr w:type="spellStart"/>
            <w:r w:rsidRPr="00B86275">
              <w:rPr>
                <w:rFonts w:eastAsia="MS Mincho"/>
                <w:bCs/>
                <w:szCs w:val="24"/>
                <w:lang w:val="en-US" w:eastAsia="en-GB"/>
              </w:rPr>
              <w:t>referenceTimeInfo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w:t>
            </w:r>
            <w:proofErr w:type="gramStart"/>
            <w:r>
              <w:rPr>
                <w:lang w:val="en-US"/>
              </w:rPr>
              <w:t>and also</w:t>
            </w:r>
            <w:proofErr w:type="gramEnd"/>
            <w:r>
              <w:rPr>
                <w:lang w:val="en-US"/>
              </w:rPr>
              <w:t xml:space="preserve">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lastRenderedPageBreak/>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944E3" w14:textId="77777777" w:rsidR="003155DE" w:rsidRDefault="003155DE" w:rsidP="00AD2FD0">
      <w:pPr>
        <w:spacing w:after="0" w:line="240" w:lineRule="auto"/>
      </w:pPr>
      <w:r>
        <w:separator/>
      </w:r>
    </w:p>
  </w:endnote>
  <w:endnote w:type="continuationSeparator" w:id="0">
    <w:p w14:paraId="2E1414BF" w14:textId="77777777" w:rsidR="003155DE" w:rsidRDefault="003155DE" w:rsidP="00AD2FD0">
      <w:pPr>
        <w:spacing w:after="0" w:line="240" w:lineRule="auto"/>
      </w:pPr>
      <w:r>
        <w:continuationSeparator/>
      </w:r>
    </w:p>
  </w:endnote>
  <w:endnote w:type="continuationNotice" w:id="1">
    <w:p w14:paraId="0CA45741" w14:textId="77777777" w:rsidR="003155DE" w:rsidRDefault="00315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E3FA9" w14:textId="77777777" w:rsidR="003155DE" w:rsidRDefault="003155DE" w:rsidP="00AD2FD0">
      <w:pPr>
        <w:spacing w:after="0" w:line="240" w:lineRule="auto"/>
      </w:pPr>
      <w:r>
        <w:separator/>
      </w:r>
    </w:p>
  </w:footnote>
  <w:footnote w:type="continuationSeparator" w:id="0">
    <w:p w14:paraId="6B3C86A3" w14:textId="77777777" w:rsidR="003155DE" w:rsidRDefault="003155DE" w:rsidP="00AD2FD0">
      <w:pPr>
        <w:spacing w:after="0" w:line="240" w:lineRule="auto"/>
      </w:pPr>
      <w:r>
        <w:continuationSeparator/>
      </w:r>
    </w:p>
  </w:footnote>
  <w:footnote w:type="continuationNotice" w:id="1">
    <w:p w14:paraId="5DB35385" w14:textId="77777777" w:rsidR="003155DE" w:rsidRDefault="00315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37"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310FE"/>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67E15"/>
    <w:rsid w:val="00B7066C"/>
    <w:rsid w:val="00B7086D"/>
    <w:rsid w:val="00B70CB6"/>
    <w:rsid w:val="00B71EE7"/>
    <w:rsid w:val="00B72302"/>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0">
    <w:name w:val="未解決のメンション1"/>
    <w:basedOn w:val="a1"/>
    <w:uiPriority w:val="99"/>
    <w:unhideWhenUsed/>
    <w:rsid w:val="00413096"/>
    <w:rPr>
      <w:color w:val="605E5C"/>
      <w:shd w:val="clear" w:color="auto" w:fill="E1DFDD"/>
    </w:rPr>
  </w:style>
  <w:style w:type="character" w:customStyle="1" w:styleId="11">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400A8-7CCE-4A2A-ACA0-F819E7CD2FE9}">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A190892-7111-4612-9DEB-4B5B0E6540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17</Pages>
  <Words>6166</Words>
  <Characters>35148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41232</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OPPO- Liu yang</cp:lastModifiedBy>
  <cp:revision>2</cp:revision>
  <dcterms:created xsi:type="dcterms:W3CDTF">2020-09-25T07:45:00Z</dcterms:created>
  <dcterms:modified xsi:type="dcterms:W3CDTF">2020-09-25T07:45:00Z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