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D909F3">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D909F3">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D909F3">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45685C" w:rsidRDefault="0045685C" w:rsidP="00C74DF3">
            <w:pPr>
              <w:spacing w:before="120"/>
              <w:jc w:val="both"/>
              <w:rPr>
                <w:rFonts w:eastAsiaTheme="minorEastAsia"/>
                <w:lang w:eastAsia="zh-CN"/>
              </w:rPr>
            </w:pPr>
            <w:r>
              <w:rPr>
                <w:rFonts w:eastAsiaTheme="minorEastAsia"/>
                <w:lang w:eastAsia="zh-CN"/>
              </w:rPr>
              <w:t xml:space="preserve">Since longer eDRX cycle would lead to larger paging latency, we don’t think </w:t>
            </w:r>
            <w:r w:rsidR="00F06A72">
              <w:rPr>
                <w:rFonts w:eastAsiaTheme="minorEastAsia"/>
                <w:lang w:eastAsia="zh-CN"/>
              </w:rPr>
              <w:t xml:space="preserve">the three use cases </w:t>
            </w:r>
            <w:r w:rsidR="00C74DF3">
              <w:rPr>
                <w:rFonts w:eastAsiaTheme="minorEastAsia"/>
                <w:lang w:eastAsia="zh-CN"/>
              </w:rPr>
              <w:t>for R</w:t>
            </w:r>
            <w:r w:rsidR="00C74DF3">
              <w:rPr>
                <w:rFonts w:eastAsiaTheme="minorEastAsia" w:hint="eastAsia"/>
                <w:lang w:eastAsia="zh-CN"/>
              </w:rPr>
              <w:t>e</w:t>
            </w:r>
            <w:r>
              <w:rPr>
                <w:rFonts w:eastAsiaTheme="minorEastAsia"/>
                <w:lang w:eastAsia="zh-CN"/>
              </w:rPr>
              <w:t>d</w:t>
            </w:r>
            <w:r w:rsidR="00C74DF3">
              <w:rPr>
                <w:rFonts w:eastAsiaTheme="minorEastAsia"/>
                <w:lang w:eastAsia="zh-CN"/>
              </w:rPr>
              <w:t>Cap UEs could</w:t>
            </w:r>
            <w:r>
              <w:rPr>
                <w:rFonts w:eastAsiaTheme="minorEastAsia"/>
                <w:lang w:eastAsia="zh-CN"/>
              </w:rPr>
              <w:t xml:space="preserve"> </w:t>
            </w:r>
            <w:r w:rsidR="00F06A72" w:rsidRPr="00F06A72">
              <w:rPr>
                <w:rFonts w:eastAsiaTheme="minorEastAsia"/>
                <w:lang w:eastAsia="zh-CN"/>
              </w:rPr>
              <w:t>tolerate</w:t>
            </w:r>
            <w:r w:rsidR="00F06A72">
              <w:rPr>
                <w:rFonts w:eastAsiaTheme="minorEastAsia"/>
                <w:lang w:eastAsia="zh-CN"/>
              </w:rPr>
              <w:t xml:space="preserve"> such large paging latency as NB-I</w:t>
            </w:r>
            <w:r w:rsidR="00F06A72">
              <w:rPr>
                <w:rFonts w:eastAsiaTheme="minorEastAsia" w:hint="eastAsia"/>
                <w:lang w:eastAsia="zh-CN"/>
              </w:rPr>
              <w:t>oT</w:t>
            </w:r>
            <w:r w:rsidR="00F06A72">
              <w:rPr>
                <w:rFonts w:eastAsiaTheme="minorEastAsia"/>
                <w:lang w:eastAsia="zh-CN"/>
              </w:rPr>
              <w:t xml:space="preserve"> and eMTC.</w:t>
            </w:r>
          </w:p>
        </w:tc>
      </w:tr>
      <w:tr w:rsidR="00B71059" w14:paraId="2316524B" w14:textId="77777777" w:rsidTr="00D909F3">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Huawei, HiSilicon</w:t>
            </w:r>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D909F3">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sufficient. </w:t>
            </w:r>
          </w:p>
        </w:tc>
      </w:tr>
      <w:tr w:rsidR="003861EF" w14:paraId="6A2807F0" w14:textId="77777777" w:rsidTr="00D909F3">
        <w:tc>
          <w:tcPr>
            <w:tcW w:w="1368" w:type="dxa"/>
          </w:tcPr>
          <w:p w14:paraId="5514D0A7" w14:textId="730D3E8D" w:rsidR="003861EF" w:rsidRDefault="003861EF" w:rsidP="003861EF">
            <w:pPr>
              <w:spacing w:before="120"/>
              <w:jc w:val="both"/>
              <w:rPr>
                <w:rFonts w:eastAsia="SimSun"/>
                <w:lang w:eastAsia="zh-CN"/>
              </w:rPr>
            </w:pPr>
            <w:r>
              <w:rPr>
                <w:rFonts w:eastAsia="SimSun"/>
                <w:lang w:eastAsia="zh-CN"/>
              </w:rPr>
              <w:t>Futurewei</w:t>
            </w:r>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6D47D2" w14:paraId="771CAAB0" w14:textId="77777777" w:rsidTr="00D909F3">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900"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354"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D909F3">
        <w:tc>
          <w:tcPr>
            <w:tcW w:w="1368" w:type="dxa"/>
            <w:tcBorders>
              <w:top w:val="single" w:sz="4" w:space="0" w:color="auto"/>
            </w:tcBorders>
          </w:tcPr>
          <w:p w14:paraId="21CD0A51" w14:textId="4648BC11" w:rsidR="006D47D2" w:rsidRDefault="00B71C02" w:rsidP="00D909F3">
            <w:pPr>
              <w:spacing w:before="120"/>
              <w:jc w:val="both"/>
            </w:pPr>
            <w:r>
              <w:t>CATT</w:t>
            </w:r>
          </w:p>
        </w:tc>
        <w:tc>
          <w:tcPr>
            <w:tcW w:w="900" w:type="dxa"/>
            <w:tcBorders>
              <w:top w:val="single" w:sz="4" w:space="0" w:color="auto"/>
            </w:tcBorders>
          </w:tcPr>
          <w:p w14:paraId="521179F3" w14:textId="5FDEE78B" w:rsidR="006D47D2" w:rsidRDefault="00B71C02" w:rsidP="00D909F3">
            <w:pPr>
              <w:spacing w:before="120"/>
              <w:jc w:val="both"/>
            </w:pPr>
            <w:r>
              <w:t>Yes</w:t>
            </w:r>
          </w:p>
        </w:tc>
        <w:tc>
          <w:tcPr>
            <w:tcW w:w="6354"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D909F3">
        <w:tc>
          <w:tcPr>
            <w:tcW w:w="1368" w:type="dxa"/>
          </w:tcPr>
          <w:p w14:paraId="3F8A72F3" w14:textId="44315117" w:rsidR="00B71059" w:rsidRDefault="00B71059" w:rsidP="00B71059">
            <w:pPr>
              <w:spacing w:before="120"/>
              <w:jc w:val="both"/>
            </w:pPr>
            <w:r w:rsidRPr="002A4140">
              <w:t>Huawei, HiSilicon</w:t>
            </w:r>
          </w:p>
        </w:tc>
        <w:tc>
          <w:tcPr>
            <w:tcW w:w="900" w:type="dxa"/>
          </w:tcPr>
          <w:p w14:paraId="3D68BB9B" w14:textId="3300B96C" w:rsidR="00B71059" w:rsidRDefault="00B71059" w:rsidP="00B71059">
            <w:pPr>
              <w:spacing w:before="120"/>
              <w:jc w:val="both"/>
            </w:pPr>
            <w:r>
              <w:t>Yes</w:t>
            </w:r>
          </w:p>
        </w:tc>
        <w:tc>
          <w:tcPr>
            <w:tcW w:w="6354"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D909F3">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900"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354" w:type="dxa"/>
          </w:tcPr>
          <w:p w14:paraId="63B4A3D4" w14:textId="77777777" w:rsidR="00B71059" w:rsidRDefault="00B71059" w:rsidP="00B71059">
            <w:pPr>
              <w:spacing w:before="120"/>
              <w:jc w:val="both"/>
            </w:pPr>
          </w:p>
        </w:tc>
      </w:tr>
      <w:tr w:rsidR="00386E57" w14:paraId="2671207B" w14:textId="77777777" w:rsidTr="00D909F3">
        <w:tc>
          <w:tcPr>
            <w:tcW w:w="1368" w:type="dxa"/>
          </w:tcPr>
          <w:p w14:paraId="0525443D" w14:textId="76526FC8" w:rsidR="00386E57" w:rsidRDefault="003861EF" w:rsidP="00B71059">
            <w:pPr>
              <w:spacing w:before="120"/>
              <w:jc w:val="both"/>
              <w:rPr>
                <w:rFonts w:eastAsia="SimSun"/>
                <w:lang w:eastAsia="zh-CN"/>
              </w:rPr>
            </w:pPr>
            <w:r>
              <w:rPr>
                <w:rFonts w:eastAsia="SimSun"/>
                <w:lang w:eastAsia="zh-CN"/>
              </w:rPr>
              <w:t>Futurewei</w:t>
            </w:r>
          </w:p>
        </w:tc>
        <w:tc>
          <w:tcPr>
            <w:tcW w:w="900"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354" w:type="dxa"/>
          </w:tcPr>
          <w:p w14:paraId="7877C944" w14:textId="77777777" w:rsidR="00386E57" w:rsidRDefault="00386E57" w:rsidP="00B71059">
            <w:pPr>
              <w:spacing w:before="120"/>
              <w:jc w:val="both"/>
            </w:pP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lastRenderedPageBreak/>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D909F3">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D909F3">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D909F3">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D909F3">
        <w:tc>
          <w:tcPr>
            <w:tcW w:w="1368" w:type="dxa"/>
          </w:tcPr>
          <w:p w14:paraId="7310DED8" w14:textId="5C870EA5" w:rsidR="00B71059" w:rsidRDefault="00B71059" w:rsidP="00B71059">
            <w:pPr>
              <w:spacing w:before="120"/>
              <w:jc w:val="both"/>
              <w:rPr>
                <w:rFonts w:eastAsia="SimSun"/>
                <w:lang w:eastAsia="zh-CN"/>
              </w:rPr>
            </w:pPr>
            <w:r w:rsidRPr="002A4140">
              <w:t>Huawei, HiSilicon</w:t>
            </w:r>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eDRX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r w:rsidRPr="0005143E">
              <w:rPr>
                <w:rFonts w:eastAsia="SimSun"/>
                <w:lang w:eastAsia="zh-CN"/>
              </w:rPr>
              <w:t xml:space="preserve">eDRX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r>
              <w:rPr>
                <w:rFonts w:eastAsia="SimSun"/>
                <w:lang w:eastAsia="zh-CN"/>
              </w:rPr>
              <w:t xml:space="preserve">eDRX cycle beyond 10.24 s is not supported in SA2 and CT1 specifications. RAN2 could study solutions with SA2/CT1 to make it feasible. </w:t>
            </w:r>
          </w:p>
        </w:tc>
      </w:tr>
      <w:tr w:rsidR="00386E57" w14:paraId="429562E6" w14:textId="77777777" w:rsidTr="00D909F3">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the impact on NAS re-transmission, we prefer not to support this. </w:t>
            </w:r>
          </w:p>
          <w:p w14:paraId="6E0F6487" w14:textId="77777777"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D909F3">
        <w:tc>
          <w:tcPr>
            <w:tcW w:w="1368" w:type="dxa"/>
          </w:tcPr>
          <w:p w14:paraId="0C59A67E" w14:textId="18FA6A57" w:rsidR="003861EF" w:rsidRPr="002A4140" w:rsidRDefault="003861EF" w:rsidP="003861EF">
            <w:pPr>
              <w:spacing w:before="120"/>
              <w:jc w:val="both"/>
            </w:pPr>
            <w:r>
              <w:rPr>
                <w:rFonts w:eastAsia="SimSun"/>
                <w:lang w:eastAsia="zh-CN"/>
              </w:rPr>
              <w:t>Futurewei</w:t>
            </w:r>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AB1DA9">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AB1DA9">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AB1DA9">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AB1DA9">
        <w:tc>
          <w:tcPr>
            <w:tcW w:w="1368" w:type="dxa"/>
          </w:tcPr>
          <w:p w14:paraId="44E612C7" w14:textId="55E9865B" w:rsidR="003861EF" w:rsidRDefault="003861EF" w:rsidP="003861EF">
            <w:pPr>
              <w:spacing w:before="120"/>
              <w:jc w:val="both"/>
              <w:rPr>
                <w:rFonts w:eastAsia="SimSun"/>
                <w:lang w:eastAsia="zh-CN"/>
              </w:rPr>
            </w:pPr>
            <w:r>
              <w:rPr>
                <w:rFonts w:eastAsia="SimSun"/>
                <w:lang w:eastAsia="zh-CN"/>
              </w:rPr>
              <w:t>Futurewei</w:t>
            </w:r>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D909F3">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D909F3">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D909F3">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D909F3">
        <w:tc>
          <w:tcPr>
            <w:tcW w:w="1368" w:type="dxa"/>
          </w:tcPr>
          <w:p w14:paraId="53F4E844" w14:textId="2B166258" w:rsidR="003861EF" w:rsidRDefault="003861EF" w:rsidP="003861EF">
            <w:pPr>
              <w:spacing w:before="120"/>
              <w:jc w:val="both"/>
              <w:rPr>
                <w:rFonts w:eastAsia="SimSun"/>
                <w:lang w:eastAsia="zh-CN"/>
              </w:rPr>
            </w:pPr>
            <w:r>
              <w:rPr>
                <w:rFonts w:eastAsia="SimSun"/>
                <w:lang w:eastAsia="zh-CN"/>
              </w:rPr>
              <w:t>Futurewei</w:t>
            </w:r>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r w:rsidRPr="00C06AE7">
        <w:rPr>
          <w:sz w:val="22"/>
        </w:rPr>
        <w:lastRenderedPageBreak/>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9C22F6">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9C22F6">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9C22F6">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9C22F6">
        <w:tc>
          <w:tcPr>
            <w:tcW w:w="1368" w:type="dxa"/>
          </w:tcPr>
          <w:p w14:paraId="7042B730" w14:textId="0322AB00" w:rsidR="00B71059" w:rsidRDefault="00B71059" w:rsidP="00B71059">
            <w:pPr>
              <w:spacing w:before="120"/>
              <w:jc w:val="both"/>
              <w:rPr>
                <w:rFonts w:eastAsia="SimSun"/>
                <w:lang w:eastAsia="zh-CN"/>
              </w:rPr>
            </w:pPr>
            <w:r w:rsidRPr="002A4140">
              <w:t>Huawei, HiSilicon</w:t>
            </w:r>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9C22F6">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9C22F6">
        <w:tc>
          <w:tcPr>
            <w:tcW w:w="1368" w:type="dxa"/>
          </w:tcPr>
          <w:p w14:paraId="08BF7E9C" w14:textId="37617CC4" w:rsidR="003861EF" w:rsidRDefault="003861EF" w:rsidP="003861EF">
            <w:pPr>
              <w:spacing w:before="120"/>
              <w:jc w:val="both"/>
            </w:pPr>
            <w:r>
              <w:rPr>
                <w:rFonts w:eastAsia="SimSun"/>
                <w:lang w:eastAsia="zh-CN"/>
              </w:rPr>
              <w:t>Futurewei</w:t>
            </w:r>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624"/>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eDRX cycle </w:t>
            </w:r>
            <w:r w:rsidRPr="00332808">
              <w:rPr>
                <w:rFonts w:ascii="Arial" w:eastAsia="SimSun"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configured NR e</w:t>
            </w:r>
            <w:r w:rsidRPr="00B87103">
              <w:rPr>
                <w:rFonts w:ascii="Arial" w:eastAsia="SimSun" w:hAnsi="Arial" w:hint="eastAsia"/>
                <w:b/>
                <w:szCs w:val="18"/>
                <w:highlight w:val="yellow"/>
                <w:lang w:eastAsia="zh-CN"/>
              </w:rPr>
              <w:t xml:space="preserve">DRX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D909F3">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D909F3">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D909F3">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D909F3">
        <w:tc>
          <w:tcPr>
            <w:tcW w:w="1368" w:type="dxa"/>
          </w:tcPr>
          <w:p w14:paraId="09432302" w14:textId="352D6A85" w:rsidR="00B71059" w:rsidRDefault="00B71059" w:rsidP="00B71059">
            <w:pPr>
              <w:spacing w:before="120"/>
              <w:jc w:val="both"/>
              <w:rPr>
                <w:rFonts w:eastAsia="SimSun"/>
                <w:lang w:eastAsia="zh-CN"/>
              </w:rPr>
            </w:pPr>
            <w:r w:rsidRPr="002A4140">
              <w:t>Huawei, HiSilicon</w:t>
            </w:r>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D909F3">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D909F3">
        <w:tc>
          <w:tcPr>
            <w:tcW w:w="1368" w:type="dxa"/>
          </w:tcPr>
          <w:p w14:paraId="4B7FE089" w14:textId="5CCC1D76" w:rsidR="003861EF" w:rsidRDefault="003861EF" w:rsidP="003861EF">
            <w:pPr>
              <w:spacing w:before="120"/>
              <w:jc w:val="both"/>
            </w:pPr>
            <w:r>
              <w:rPr>
                <w:rFonts w:eastAsia="SimSun"/>
                <w:lang w:eastAsia="zh-CN"/>
              </w:rPr>
              <w:t>Futurewei</w:t>
            </w:r>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 xml:space="preserve">we </w:t>
      </w:r>
      <w:r w:rsidR="008C4E48" w:rsidRPr="008C4E48">
        <w:rPr>
          <w:rFonts w:eastAsia="MS Mincho"/>
          <w:lang w:eastAsia="zh-CN"/>
        </w:rPr>
        <w:lastRenderedPageBreak/>
        <w:t>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D909F3">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D909F3">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D909F3">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D909F3">
        <w:tc>
          <w:tcPr>
            <w:tcW w:w="1368" w:type="dxa"/>
          </w:tcPr>
          <w:p w14:paraId="69AA5CEE" w14:textId="2444A099" w:rsidR="00B71059" w:rsidRDefault="00B71059" w:rsidP="00B71059">
            <w:pPr>
              <w:spacing w:before="120"/>
              <w:jc w:val="both"/>
              <w:rPr>
                <w:rFonts w:eastAsia="SimSun"/>
                <w:lang w:eastAsia="zh-CN"/>
              </w:rPr>
            </w:pPr>
            <w:r w:rsidRPr="002A4140">
              <w:t>Huawei, HiSilicon</w:t>
            </w:r>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D909F3">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D909F3">
        <w:tc>
          <w:tcPr>
            <w:tcW w:w="1368" w:type="dxa"/>
          </w:tcPr>
          <w:p w14:paraId="1DAF8D20" w14:textId="571AFF95" w:rsidR="003861EF" w:rsidRDefault="003861EF" w:rsidP="003861EF">
            <w:pPr>
              <w:spacing w:before="120"/>
              <w:jc w:val="both"/>
            </w:pPr>
            <w:r>
              <w:rPr>
                <w:rFonts w:eastAsia="SimSun"/>
                <w:lang w:eastAsia="zh-CN"/>
              </w:rPr>
              <w:t>Futurewei</w:t>
            </w:r>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9C22F6">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9C22F6">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9C22F6">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9C22F6">
        <w:tc>
          <w:tcPr>
            <w:tcW w:w="1368" w:type="dxa"/>
          </w:tcPr>
          <w:p w14:paraId="78B163B2" w14:textId="32D21411" w:rsidR="00B71059" w:rsidRDefault="00B71059" w:rsidP="00B71059">
            <w:pPr>
              <w:spacing w:before="120"/>
              <w:jc w:val="both"/>
              <w:rPr>
                <w:rFonts w:eastAsia="SimSun"/>
                <w:lang w:eastAsia="zh-CN"/>
              </w:rPr>
            </w:pPr>
            <w:r w:rsidRPr="002A4140">
              <w:t>Huawei, HiSilicon</w:t>
            </w:r>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9C22F6">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RRCRelease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 xml:space="preserve">eDRX cycle &gt; 10.24s is supported (as outcome of </w:t>
            </w:r>
            <w:r w:rsidRPr="0046615C">
              <w:rPr>
                <w:b/>
                <w:bCs/>
              </w:rPr>
              <w:lastRenderedPageBreak/>
              <w:t>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eDRX cycle &gt;10.24 for Inactive (in Q1.3) is supported, as we responsed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9C22F6">
        <w:tc>
          <w:tcPr>
            <w:tcW w:w="1368" w:type="dxa"/>
          </w:tcPr>
          <w:p w14:paraId="5A83211E" w14:textId="242FD5D1" w:rsidR="003861EF" w:rsidRPr="002A4140" w:rsidRDefault="003861EF" w:rsidP="003861EF">
            <w:pPr>
              <w:spacing w:before="120"/>
              <w:jc w:val="both"/>
            </w:pPr>
            <w:r>
              <w:rPr>
                <w:rFonts w:eastAsia="SimSun"/>
                <w:lang w:eastAsia="zh-CN"/>
              </w:rPr>
              <w:lastRenderedPageBreak/>
              <w:t>Futurewei</w:t>
            </w:r>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Heading3"/>
        <w:rPr>
          <w:sz w:val="22"/>
        </w:rPr>
      </w:pPr>
      <w:r>
        <w:rPr>
          <w:sz w:val="22"/>
        </w:rPr>
        <w:t>Scope of stationary UEs</w:t>
      </w:r>
    </w:p>
    <w:p w14:paraId="537EB687" w14:textId="36DAC299" w:rsidR="00891D38" w:rsidRDefault="00C90638" w:rsidP="00891D38">
      <w:r>
        <w:t xml:space="preserve">Different </w:t>
      </w:r>
      <w:r w:rsidR="00891D38">
        <w:t>levels of mobility could be considered for REDCAP UEs</w:t>
      </w:r>
      <w:r>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9C22F6">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9C22F6">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9C22F6">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9C22F6">
        <w:tc>
          <w:tcPr>
            <w:tcW w:w="1368" w:type="dxa"/>
          </w:tcPr>
          <w:p w14:paraId="3EAD6FD6" w14:textId="2BCBF3B0" w:rsidR="00B71059" w:rsidRDefault="00B71059" w:rsidP="00B71059">
            <w:pPr>
              <w:spacing w:before="120"/>
              <w:jc w:val="both"/>
              <w:rPr>
                <w:rFonts w:eastAsia="SimSun"/>
                <w:lang w:eastAsia="zh-CN"/>
              </w:rPr>
            </w:pPr>
            <w:r w:rsidRPr="00276847">
              <w:lastRenderedPageBreak/>
              <w:t>Huawei, HiSilicon</w:t>
            </w:r>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9C22F6">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RRC_Connected UEs,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9C22F6">
        <w:tc>
          <w:tcPr>
            <w:tcW w:w="1368" w:type="dxa"/>
          </w:tcPr>
          <w:p w14:paraId="5D885786" w14:textId="3AB9F0E3" w:rsidR="003861EF" w:rsidRDefault="003861EF" w:rsidP="003861EF">
            <w:pPr>
              <w:spacing w:before="120"/>
              <w:jc w:val="both"/>
            </w:pPr>
            <w:r>
              <w:rPr>
                <w:rFonts w:eastAsia="SimSun"/>
                <w:lang w:eastAsia="zh-CN"/>
              </w:rPr>
              <w:t>Futurewei</w:t>
            </w:r>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B74C4A">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B74C4A">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B74C4A">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B74C4A">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B74C4A">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B74C4A">
        <w:tc>
          <w:tcPr>
            <w:tcW w:w="1368" w:type="dxa"/>
          </w:tcPr>
          <w:p w14:paraId="30D72688" w14:textId="296152F4" w:rsidR="008F4381" w:rsidRDefault="003861EF" w:rsidP="00B71059">
            <w:pPr>
              <w:spacing w:before="120"/>
              <w:jc w:val="both"/>
            </w:pPr>
            <w:r>
              <w:t>Futurewei</w:t>
            </w:r>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D909F3">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D909F3">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D909F3">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for RedCap UEs</w:t>
            </w:r>
            <w:r w:rsidR="00B74D7E">
              <w:rPr>
                <w:lang w:eastAsia="zh-TW"/>
              </w:rPr>
              <w:t>.</w:t>
            </w:r>
          </w:p>
        </w:tc>
      </w:tr>
      <w:tr w:rsidR="00B71059" w14:paraId="1B23212D" w14:textId="77777777" w:rsidTr="00D909F3">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xml:space="preserve">, </w:t>
            </w:r>
            <w:r w:rsidRPr="00FF6CF2">
              <w:rPr>
                <w:rFonts w:hint="eastAsia"/>
              </w:rPr>
              <w:lastRenderedPageBreak/>
              <w:t>HiSilicon</w:t>
            </w:r>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lastRenderedPageBreak/>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want to clarify that reporting UE non-mobility attribution to </w:t>
            </w:r>
            <w:r>
              <w:rPr>
                <w:rFonts w:eastAsiaTheme="minorEastAsia"/>
                <w:lang w:eastAsia="zh-CN"/>
              </w:rPr>
              <w:lastRenderedPageBreak/>
              <w:t xml:space="preserve">network only make sense for RRM measurement relaxation in RRC_CONNECTED, which is relevant to </w:t>
            </w:r>
            <w:r w:rsidRPr="00A217BA">
              <w:rPr>
                <w:rFonts w:eastAsiaTheme="minorEastAsia"/>
                <w:lang w:eastAsia="zh-CN"/>
              </w:rPr>
              <w:t>Q2.5</w:t>
            </w:r>
            <w:r>
              <w:rPr>
                <w:rFonts w:eastAsiaTheme="minorEastAsia"/>
                <w:lang w:eastAsia="zh-CN"/>
              </w:rPr>
              <w:t>.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D909F3">
        <w:tc>
          <w:tcPr>
            <w:tcW w:w="1368" w:type="dxa"/>
          </w:tcPr>
          <w:p w14:paraId="137DE141" w14:textId="49F83EA1" w:rsidR="008F4381" w:rsidRPr="00FF6CF2" w:rsidRDefault="008F4381" w:rsidP="00B71059">
            <w:pPr>
              <w:spacing w:before="120"/>
              <w:jc w:val="both"/>
            </w:pPr>
            <w:r>
              <w:lastRenderedPageBreak/>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below exsiting IE in NG-C interface.</w:t>
            </w:r>
          </w:p>
          <w:p w14:paraId="04722F5D" w14:textId="77777777" w:rsidR="008F4381" w:rsidRDefault="008F4381" w:rsidP="008F4381">
            <w:pPr>
              <w:spacing w:before="120"/>
              <w:jc w:val="both"/>
              <w:rPr>
                <w:i/>
              </w:rPr>
            </w:pPr>
            <w:r w:rsidRPr="009C5509">
              <w:rPr>
                <w:i/>
              </w:rPr>
              <w:t xml:space="preserve">In Expected UE behaviour: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D909F3">
        <w:tc>
          <w:tcPr>
            <w:tcW w:w="1368" w:type="dxa"/>
          </w:tcPr>
          <w:p w14:paraId="4D123A1F" w14:textId="56FB090A" w:rsidR="00D3709C" w:rsidRDefault="0043405B" w:rsidP="00B71059">
            <w:pPr>
              <w:spacing w:before="120"/>
              <w:jc w:val="both"/>
            </w:pPr>
            <w:r>
              <w:t xml:space="preserve">Futurewei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ListParagraph"/>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ListParagraph"/>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D909F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D909F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 xml:space="preserve">We are supportive of at least configuring new “low mobility” thresholds for the “low mobility” criterion in order to distinguish stationary UEs from R16 </w:t>
            </w:r>
            <w:r>
              <w:rPr>
                <w:lang w:eastAsia="zh-TW"/>
              </w:rPr>
              <w:lastRenderedPageBreak/>
              <w:t>“low mobility” UEs.</w:t>
            </w:r>
          </w:p>
        </w:tc>
      </w:tr>
      <w:tr w:rsidR="00D909F3" w14:paraId="7A1CE112" w14:textId="77777777" w:rsidTr="00D909F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D909F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D909F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RedCap UEs,  but impact on other WGs should be limited.  </w:t>
            </w:r>
          </w:p>
        </w:tc>
      </w:tr>
      <w:tr w:rsidR="00D3709C" w14:paraId="13868CE7" w14:textId="77777777" w:rsidTr="00D909F3">
        <w:tc>
          <w:tcPr>
            <w:tcW w:w="1368" w:type="dxa"/>
          </w:tcPr>
          <w:p w14:paraId="575C24C9" w14:textId="229C1862" w:rsidR="00D3709C" w:rsidRDefault="0043405B" w:rsidP="00B71059">
            <w:pPr>
              <w:spacing w:before="120"/>
              <w:jc w:val="both"/>
            </w:pPr>
            <w:r>
              <w:t>Futurewei</w:t>
            </w:r>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Pr>
          <w:color w:val="000000"/>
          <w:lang w:val="en-US"/>
        </w:rPr>
        <w:t>Mobility performance impact: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the evaluation for neighbour cell relaxation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9C22F6">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9C22F6">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9C22F6">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9C22F6">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9C22F6">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9C22F6">
        <w:tc>
          <w:tcPr>
            <w:tcW w:w="1368" w:type="dxa"/>
          </w:tcPr>
          <w:p w14:paraId="36F37CFA" w14:textId="33492EBE" w:rsidR="00D3709C" w:rsidRPr="00FF6CF2" w:rsidRDefault="0043405B" w:rsidP="00B71059">
            <w:pPr>
              <w:spacing w:before="120"/>
              <w:jc w:val="both"/>
            </w:pPr>
            <w:r>
              <w:t>Futurewei</w:t>
            </w:r>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lastRenderedPageBreak/>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9C22F6">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9C22F6">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9C22F6">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9C22F6">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t>We think the relaxation need</w:t>
            </w:r>
            <w:r w:rsidRPr="00276847">
              <w:t xml:space="preserve"> strictly controlled by the network and network may decide it based on its strategy and history information, so maybe it can be</w:t>
            </w:r>
            <w:r w:rsidRPr="0029079B">
              <w:t xml:space="preserve"> left to NW implementation/configuration.</w:t>
            </w:r>
          </w:p>
        </w:tc>
      </w:tr>
      <w:tr w:rsidR="00D3709C" w14:paraId="4EBC8E03" w14:textId="77777777" w:rsidTr="009C22F6">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74CC3F3F"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 xml:space="preserve">So we prefer not to consider RRM relaxation for Connected UEs. </w:t>
            </w:r>
          </w:p>
          <w:p w14:paraId="0642E0F3" w14:textId="0C08AE00" w:rsidR="00D3709C" w:rsidRPr="00276847" w:rsidRDefault="00D3709C" w:rsidP="00D3709C">
            <w:pPr>
              <w:spacing w:before="120"/>
              <w:jc w:val="both"/>
            </w:pPr>
            <w:r>
              <w:rPr>
                <w:rFonts w:eastAsiaTheme="minorEastAsia"/>
                <w:lang w:eastAsia="zh-CN"/>
              </w:rPr>
              <w:t>If network can obtain “expected UE behaviour”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9C22F6">
        <w:tc>
          <w:tcPr>
            <w:tcW w:w="1368" w:type="dxa"/>
          </w:tcPr>
          <w:p w14:paraId="5804A263" w14:textId="45317644" w:rsidR="0043405B" w:rsidRDefault="0043405B" w:rsidP="00B71059">
            <w:pPr>
              <w:spacing w:before="120"/>
              <w:jc w:val="both"/>
            </w:pPr>
            <w:r>
              <w:t>Futurewei</w:t>
            </w:r>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w:t>
            </w:r>
            <w:r>
              <w:t>elaxing RRM measurements of neighbor cells</w:t>
            </w:r>
            <w:r>
              <w:t>, while reducing UE power consumption, may have impact on network performance, therefore, should be carefully managed by network implementation.</w:t>
            </w:r>
            <w:bookmarkStart w:id="8" w:name="_GoBack"/>
            <w:bookmarkEnd w:id="8"/>
          </w:p>
        </w:tc>
      </w:tr>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lastRenderedPageBreak/>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6C3E7B92" w:rsidR="00CB7E74" w:rsidRDefault="00CB7E74" w:rsidP="009C22F6">
            <w:pPr>
              <w:spacing w:before="120"/>
              <w:jc w:val="both"/>
            </w:pPr>
          </w:p>
        </w:tc>
        <w:tc>
          <w:tcPr>
            <w:tcW w:w="6354" w:type="dxa"/>
            <w:tcBorders>
              <w:top w:val="single" w:sz="4" w:space="0" w:color="auto"/>
            </w:tcBorders>
          </w:tcPr>
          <w:p w14:paraId="342C041D" w14:textId="1C6EF56D" w:rsidR="00CB7E74" w:rsidRDefault="00CB7E74" w:rsidP="009C22F6">
            <w:pPr>
              <w:spacing w:before="120"/>
              <w:jc w:val="both"/>
              <w:rPr>
                <w:lang w:eastAsia="zh-TW"/>
              </w:rPr>
            </w:pP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BodyText"/>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BodyText"/>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14:paraId="7808251A" w14:textId="539DEB9F" w:rsidR="00CA4B31" w:rsidRDefault="00CA4B31" w:rsidP="00CA4B31">
      <w:pPr>
        <w:pStyle w:val="BodyText"/>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BodyText"/>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14:paraId="712D9CED" w14:textId="76D6F0EB" w:rsidR="00841287" w:rsidRDefault="00841287" w:rsidP="00841287">
      <w:pPr>
        <w:pStyle w:val="BodyText"/>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14:paraId="5616461B" w14:textId="387433FD" w:rsidR="00B21DD6" w:rsidRDefault="00B21DD6" w:rsidP="00B21DD6">
      <w:pPr>
        <w:pStyle w:val="BodyText"/>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BodyText"/>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BodyText"/>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BodyText"/>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BodyText"/>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14:paraId="7CCD06F6" w14:textId="32A53A40" w:rsidR="004126A1" w:rsidRDefault="00580E24" w:rsidP="00580E24">
      <w:pPr>
        <w:pStyle w:val="BodyText"/>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BodyText"/>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14:paraId="527B5FFB" w14:textId="7BC57068" w:rsidR="000922E1" w:rsidRDefault="006037DD" w:rsidP="006037DD">
      <w:pPr>
        <w:pStyle w:val="BodyText"/>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14:paraId="70526AE4" w14:textId="5C7CD3AA" w:rsidR="00564612" w:rsidRDefault="00564612" w:rsidP="00564612">
      <w:pPr>
        <w:pStyle w:val="BodyText"/>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BodyText"/>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headerReference w:type="even" r:id="rId8"/>
      <w:headerReference w:type="default" r:id="rId9"/>
      <w:footerReference w:type="even" r:id="rId10"/>
      <w:footerReference w:type="default" r:id="rId11"/>
      <w:headerReference w:type="first" r:id="rId12"/>
      <w:footerReference w:type="first" r:id="rId13"/>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6829D" w14:textId="77777777" w:rsidR="00A92829" w:rsidRDefault="00A92829">
      <w:r>
        <w:separator/>
      </w:r>
    </w:p>
  </w:endnote>
  <w:endnote w:type="continuationSeparator" w:id="0">
    <w:p w14:paraId="5A50AD4A" w14:textId="77777777" w:rsidR="00A92829" w:rsidRDefault="00A9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auto"/>
    <w:pitch w:val="default"/>
    <w:sig w:usb0="00000000" w:usb1="00000000" w:usb2="00000000" w:usb3="00000000" w:csb0="00040001" w:csb1="00000000"/>
  </w:font>
  <w:font w:name="Monotype Sorts">
    <w:altName w:val="Segoe UI Symbol"/>
    <w:charset w:val="02"/>
    <w:family w:val="auto"/>
    <w:pitch w:val="default"/>
    <w:sig w:usb0="00000000" w:usb1="0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484E" w14:textId="77777777" w:rsidR="003861EF" w:rsidRDefault="00386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35D3" w14:textId="77777777" w:rsidR="003861EF" w:rsidRDefault="00386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C3C8" w14:textId="77777777" w:rsidR="003861EF" w:rsidRDefault="00386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0062C" w14:textId="77777777" w:rsidR="00A92829" w:rsidRDefault="00A92829">
      <w:r>
        <w:separator/>
      </w:r>
    </w:p>
  </w:footnote>
  <w:footnote w:type="continuationSeparator" w:id="0">
    <w:p w14:paraId="6BCECBD7" w14:textId="77777777" w:rsidR="00A92829" w:rsidRDefault="00A92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AEF9" w14:textId="77777777" w:rsidR="003861EF" w:rsidRDefault="00386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D748" w14:textId="77777777" w:rsidR="003861EF" w:rsidRDefault="00386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82E3" w14:textId="77777777" w:rsidR="003861EF" w:rsidRDefault="00386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1"/>
  </w:num>
  <w:num w:numId="2">
    <w:abstractNumId w:val="26"/>
  </w:num>
  <w:num w:numId="3">
    <w:abstractNumId w:val="17"/>
  </w:num>
  <w:num w:numId="4">
    <w:abstractNumId w:val="12"/>
  </w:num>
  <w:num w:numId="5">
    <w:abstractNumId w:val="32"/>
  </w:num>
  <w:num w:numId="6">
    <w:abstractNumId w:val="21"/>
  </w:num>
  <w:num w:numId="7">
    <w:abstractNumId w:val="19"/>
  </w:num>
  <w:num w:numId="8">
    <w:abstractNumId w:val="25"/>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num>
  <w:num w:numId="12">
    <w:abstractNumId w:val="9"/>
  </w:num>
  <w:num w:numId="13">
    <w:abstractNumId w:val="28"/>
  </w:num>
  <w:num w:numId="14">
    <w:abstractNumId w:val="18"/>
  </w:num>
  <w:num w:numId="15">
    <w:abstractNumId w:val="24"/>
  </w:num>
  <w:num w:numId="16">
    <w:abstractNumId w:val="13"/>
  </w:num>
  <w:num w:numId="17">
    <w:abstractNumId w:val="4"/>
  </w:num>
  <w:num w:numId="18">
    <w:abstractNumId w:val="15"/>
  </w:num>
  <w:num w:numId="19">
    <w:abstractNumId w:val="22"/>
  </w:num>
  <w:num w:numId="20">
    <w:abstractNumId w:val="2"/>
  </w:num>
  <w:num w:numId="21">
    <w:abstractNumId w:val="31"/>
  </w:num>
  <w:num w:numId="22">
    <w:abstractNumId w:val="11"/>
  </w:num>
  <w:num w:numId="23">
    <w:abstractNumId w:val="6"/>
  </w:num>
  <w:num w:numId="24">
    <w:abstractNumId w:val="20"/>
  </w:num>
  <w:num w:numId="25">
    <w:abstractNumId w:val="27"/>
  </w:num>
  <w:num w:numId="26">
    <w:abstractNumId w:val="1"/>
  </w:num>
  <w:num w:numId="27">
    <w:abstractNumId w:val="8"/>
  </w:num>
  <w:num w:numId="28">
    <w:abstractNumId w:val="30"/>
  </w:num>
  <w:num w:numId="29">
    <w:abstractNumId w:val="14"/>
  </w:num>
  <w:num w:numId="30">
    <w:abstractNumId w:val="29"/>
  </w:num>
  <w:num w:numId="31">
    <w:abstractNumId w:val="5"/>
  </w:num>
  <w:num w:numId="32">
    <w:abstractNumId w:val="3"/>
  </w:num>
  <w:num w:numId="33">
    <w:abstractNumId w:val="16"/>
  </w:num>
  <w:num w:numId="3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9B7"/>
    <w:rsid w:val="00010C87"/>
    <w:rsid w:val="000116A5"/>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8AF"/>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72C"/>
    <w:rsid w:val="000E477E"/>
    <w:rsid w:val="000E4B35"/>
    <w:rsid w:val="000E517C"/>
    <w:rsid w:val="000E557C"/>
    <w:rsid w:val="000E61FD"/>
    <w:rsid w:val="000E629A"/>
    <w:rsid w:val="000E649F"/>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105B"/>
    <w:rsid w:val="00211258"/>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4A0"/>
    <w:rsid w:val="003835AC"/>
    <w:rsid w:val="003838FE"/>
    <w:rsid w:val="003839BF"/>
    <w:rsid w:val="00384D9A"/>
    <w:rsid w:val="003861EF"/>
    <w:rsid w:val="0038663E"/>
    <w:rsid w:val="0038665D"/>
    <w:rsid w:val="00386708"/>
    <w:rsid w:val="00386931"/>
    <w:rsid w:val="00386CB3"/>
    <w:rsid w:val="00386E57"/>
    <w:rsid w:val="003870EF"/>
    <w:rsid w:val="003874ED"/>
    <w:rsid w:val="003875CF"/>
    <w:rsid w:val="00387CFD"/>
    <w:rsid w:val="00387D9E"/>
    <w:rsid w:val="00390510"/>
    <w:rsid w:val="00390D39"/>
    <w:rsid w:val="003911E7"/>
    <w:rsid w:val="003913BC"/>
    <w:rsid w:val="00391A86"/>
    <w:rsid w:val="003920B1"/>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81F"/>
    <w:rsid w:val="003D3928"/>
    <w:rsid w:val="003D40A3"/>
    <w:rsid w:val="003D4443"/>
    <w:rsid w:val="003D57A6"/>
    <w:rsid w:val="003D5E29"/>
    <w:rsid w:val="003D7C37"/>
    <w:rsid w:val="003D7DFC"/>
    <w:rsid w:val="003E09F3"/>
    <w:rsid w:val="003E0B7F"/>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433D"/>
    <w:rsid w:val="005744F0"/>
    <w:rsid w:val="0057454C"/>
    <w:rsid w:val="00575043"/>
    <w:rsid w:val="0057515D"/>
    <w:rsid w:val="005753AC"/>
    <w:rsid w:val="00575A0C"/>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F10"/>
    <w:rsid w:val="005B63B2"/>
    <w:rsid w:val="005B693F"/>
    <w:rsid w:val="005B740F"/>
    <w:rsid w:val="005B780E"/>
    <w:rsid w:val="005C0332"/>
    <w:rsid w:val="005C0BE9"/>
    <w:rsid w:val="005C17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60702"/>
    <w:rsid w:val="0076077D"/>
    <w:rsid w:val="0076117F"/>
    <w:rsid w:val="00761DDF"/>
    <w:rsid w:val="007623B6"/>
    <w:rsid w:val="0076264E"/>
    <w:rsid w:val="00763358"/>
    <w:rsid w:val="00763DED"/>
    <w:rsid w:val="00763E8F"/>
    <w:rsid w:val="00763F88"/>
    <w:rsid w:val="00763FC4"/>
    <w:rsid w:val="007646FE"/>
    <w:rsid w:val="00764AB3"/>
    <w:rsid w:val="00764EA3"/>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80DC4"/>
    <w:rsid w:val="00781310"/>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A99"/>
    <w:rsid w:val="008A6E86"/>
    <w:rsid w:val="008A7A1D"/>
    <w:rsid w:val="008A7B93"/>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8"/>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6E"/>
    <w:rsid w:val="00C060B5"/>
    <w:rsid w:val="00C06217"/>
    <w:rsid w:val="00C0694B"/>
    <w:rsid w:val="00C06987"/>
    <w:rsid w:val="00C06AE7"/>
    <w:rsid w:val="00C075BF"/>
    <w:rsid w:val="00C079F7"/>
    <w:rsid w:val="00C1005C"/>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56B9"/>
    <w:rsid w:val="00C158AE"/>
    <w:rsid w:val="00C16BFC"/>
    <w:rsid w:val="00C16FAB"/>
    <w:rsid w:val="00C1727A"/>
    <w:rsid w:val="00C17711"/>
    <w:rsid w:val="00C20428"/>
    <w:rsid w:val="00C20AA5"/>
    <w:rsid w:val="00C21627"/>
    <w:rsid w:val="00C21694"/>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DF3"/>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9CC"/>
    <w:rsid w:val="00D55BDD"/>
    <w:rsid w:val="00D5644D"/>
    <w:rsid w:val="00D5648F"/>
    <w:rsid w:val="00D5663F"/>
    <w:rsid w:val="00D569AC"/>
    <w:rsid w:val="00D56CD3"/>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9A4"/>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3A1"/>
    <w:rsid w:val="00F224BE"/>
    <w:rsid w:val="00F22A65"/>
    <w:rsid w:val="00F22FEF"/>
    <w:rsid w:val="00F2379F"/>
    <w:rsid w:val="00F2392E"/>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A41"/>
    <w:rsid w:val="00F71ACA"/>
    <w:rsid w:val="00F71E57"/>
    <w:rsid w:val="00F720B9"/>
    <w:rsid w:val="00F72C01"/>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3FB6-362B-4CAB-8778-0D46E2BB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Yunsong Yang</cp:lastModifiedBy>
  <cp:revision>3</cp:revision>
  <cp:lastPrinted>2007-08-28T14:45:00Z</cp:lastPrinted>
  <dcterms:created xsi:type="dcterms:W3CDTF">2020-09-29T23:30:00Z</dcterms:created>
  <dcterms:modified xsi:type="dcterms:W3CDTF">2020-09-29T23:59:00Z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ies>
</file>