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F7FF3" w14:textId="5ACDC2A4" w:rsidR="00903587" w:rsidRPr="005D44F7" w:rsidRDefault="005470B7" w:rsidP="00006392">
      <w:pPr>
        <w:pStyle w:val="Header"/>
        <w:tabs>
          <w:tab w:val="right" w:pos="8280"/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 w:rsidRPr="005D44F7">
        <w:rPr>
          <w:rFonts w:cs="Arial"/>
          <w:b w:val="0"/>
          <w:bCs/>
          <w:sz w:val="22"/>
          <w:szCs w:val="28"/>
        </w:rPr>
        <w:t>3GPP T</w:t>
      </w:r>
      <w:r w:rsidR="00016CA7" w:rsidRPr="005D44F7">
        <w:rPr>
          <w:rFonts w:cs="Arial"/>
          <w:b w:val="0"/>
          <w:bCs/>
          <w:sz w:val="22"/>
          <w:szCs w:val="28"/>
        </w:rPr>
        <w:t>S</w:t>
      </w:r>
      <w:r w:rsidR="00C4450F" w:rsidRPr="005D44F7">
        <w:rPr>
          <w:rFonts w:cs="Arial"/>
          <w:b w:val="0"/>
          <w:bCs/>
          <w:sz w:val="22"/>
          <w:szCs w:val="28"/>
        </w:rPr>
        <w:t>G RAN WG2 Meeting #1</w:t>
      </w:r>
      <w:r w:rsidR="00D932B8">
        <w:rPr>
          <w:rFonts w:cs="Arial"/>
          <w:b w:val="0"/>
          <w:bCs/>
          <w:sz w:val="22"/>
          <w:szCs w:val="28"/>
        </w:rPr>
        <w:t>1</w:t>
      </w:r>
      <w:r w:rsidR="0053400E">
        <w:rPr>
          <w:rFonts w:cs="Arial"/>
          <w:b w:val="0"/>
          <w:bCs/>
          <w:sz w:val="22"/>
          <w:szCs w:val="28"/>
        </w:rPr>
        <w:t>1-e</w:t>
      </w:r>
      <w:r w:rsidR="00E72AC5" w:rsidRPr="005D44F7">
        <w:rPr>
          <w:rFonts w:cs="Arial"/>
          <w:b w:val="0"/>
          <w:bCs/>
          <w:sz w:val="22"/>
          <w:szCs w:val="28"/>
        </w:rPr>
        <w:tab/>
      </w:r>
      <w:r w:rsidR="00E72AC5" w:rsidRPr="005D44F7">
        <w:rPr>
          <w:rFonts w:cs="Arial"/>
          <w:b w:val="0"/>
          <w:bCs/>
          <w:sz w:val="22"/>
          <w:szCs w:val="28"/>
        </w:rPr>
        <w:tab/>
      </w:r>
      <w:r w:rsidR="00004B53" w:rsidRPr="006A77A2">
        <w:rPr>
          <w:rFonts w:cs="Arial"/>
          <w:sz w:val="22"/>
          <w:szCs w:val="28"/>
        </w:rPr>
        <w:t>R2-</w:t>
      </w:r>
      <w:r w:rsidR="00A1614B" w:rsidRPr="006A77A2">
        <w:rPr>
          <w:rFonts w:cs="Arial"/>
          <w:sz w:val="22"/>
          <w:szCs w:val="28"/>
        </w:rPr>
        <w:t>20</w:t>
      </w:r>
      <w:r w:rsidR="00F3119E" w:rsidRPr="006A77A2">
        <w:rPr>
          <w:rFonts w:cs="Arial"/>
          <w:sz w:val="22"/>
          <w:szCs w:val="28"/>
        </w:rPr>
        <w:t>0</w:t>
      </w:r>
      <w:r w:rsidR="00D932B8">
        <w:rPr>
          <w:rFonts w:cs="Arial"/>
          <w:sz w:val="22"/>
          <w:szCs w:val="28"/>
        </w:rPr>
        <w:t>xxxx</w:t>
      </w:r>
    </w:p>
    <w:p w14:paraId="361C4566" w14:textId="773AFA94" w:rsidR="005470B7" w:rsidRPr="005D44F7" w:rsidRDefault="0053400E" w:rsidP="00006392">
      <w:pPr>
        <w:pStyle w:val="Header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b w:val="0"/>
          <w:bCs/>
          <w:sz w:val="22"/>
          <w:szCs w:val="28"/>
        </w:rPr>
        <w:t xml:space="preserve">Electronic, </w:t>
      </w:r>
      <w:r w:rsidR="00D932B8">
        <w:rPr>
          <w:rFonts w:cs="Arial"/>
          <w:b w:val="0"/>
          <w:bCs/>
          <w:sz w:val="22"/>
          <w:szCs w:val="28"/>
        </w:rPr>
        <w:t>August</w:t>
      </w:r>
      <w:r>
        <w:rPr>
          <w:rFonts w:cs="Arial"/>
          <w:b w:val="0"/>
          <w:bCs/>
          <w:sz w:val="22"/>
          <w:szCs w:val="28"/>
        </w:rPr>
        <w:t xml:space="preserve"> </w:t>
      </w:r>
      <w:r w:rsidR="00D932B8">
        <w:rPr>
          <w:rFonts w:cs="Arial"/>
          <w:b w:val="0"/>
          <w:bCs/>
          <w:sz w:val="22"/>
          <w:szCs w:val="28"/>
        </w:rPr>
        <w:t>17</w:t>
      </w:r>
      <w:r>
        <w:rPr>
          <w:rFonts w:cs="Arial"/>
          <w:b w:val="0"/>
          <w:bCs/>
          <w:sz w:val="22"/>
          <w:szCs w:val="28"/>
        </w:rPr>
        <w:t xml:space="preserve"> – </w:t>
      </w:r>
      <w:r w:rsidR="00D932B8">
        <w:rPr>
          <w:rFonts w:cs="Arial"/>
          <w:b w:val="0"/>
          <w:bCs/>
          <w:sz w:val="22"/>
          <w:szCs w:val="28"/>
        </w:rPr>
        <w:t>28</w:t>
      </w:r>
      <w:r>
        <w:rPr>
          <w:rFonts w:cs="Arial"/>
          <w:b w:val="0"/>
          <w:bCs/>
          <w:sz w:val="22"/>
          <w:szCs w:val="28"/>
        </w:rPr>
        <w:t>,</w:t>
      </w:r>
      <w:r w:rsidR="00AE1CAB">
        <w:rPr>
          <w:rFonts w:cs="Arial"/>
          <w:b w:val="0"/>
          <w:bCs/>
          <w:sz w:val="22"/>
          <w:szCs w:val="28"/>
        </w:rPr>
        <w:t xml:space="preserve"> </w:t>
      </w:r>
      <w:r w:rsidR="00004B53" w:rsidRPr="005D44F7">
        <w:rPr>
          <w:rFonts w:cs="Arial"/>
          <w:b w:val="0"/>
          <w:bCs/>
          <w:sz w:val="22"/>
          <w:szCs w:val="28"/>
        </w:rPr>
        <w:t>20</w:t>
      </w:r>
      <w:r w:rsidR="00A1614B">
        <w:rPr>
          <w:rFonts w:cs="Arial"/>
          <w:b w:val="0"/>
          <w:bCs/>
          <w:sz w:val="22"/>
          <w:szCs w:val="28"/>
        </w:rPr>
        <w:t>20</w:t>
      </w:r>
      <w:r w:rsidR="00006392" w:rsidRPr="005D44F7">
        <w:rPr>
          <w:rFonts w:cs="Arial"/>
          <w:b w:val="0"/>
          <w:bCs/>
          <w:sz w:val="22"/>
          <w:szCs w:val="28"/>
        </w:rPr>
        <w:tab/>
      </w:r>
    </w:p>
    <w:p w14:paraId="759F35C4" w14:textId="77777777" w:rsidR="005470B7" w:rsidRDefault="005470B7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14:paraId="77DE9DA1" w14:textId="367A991B" w:rsidR="004E3939" w:rsidRPr="0053400E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Title:</w:t>
      </w:r>
      <w:r w:rsidRPr="008A5DBC">
        <w:rPr>
          <w:rFonts w:ascii="Arial" w:hAnsi="Arial" w:cs="Arial"/>
          <w:b/>
          <w:sz w:val="22"/>
          <w:szCs w:val="22"/>
        </w:rPr>
        <w:tab/>
      </w:r>
      <w:bookmarkStart w:id="0" w:name="_Hlk506457506"/>
      <w:r w:rsidR="0079789D">
        <w:rPr>
          <w:rFonts w:ascii="Arial" w:hAnsi="Arial" w:cs="Arial"/>
          <w:b/>
          <w:sz w:val="22"/>
          <w:szCs w:val="22"/>
        </w:rPr>
        <w:t xml:space="preserve">DRAFT </w:t>
      </w:r>
      <w:r w:rsidR="0053400E" w:rsidRPr="0053400E">
        <w:rPr>
          <w:rFonts w:ascii="Arial" w:hAnsi="Arial" w:cs="Arial"/>
          <w:bCs/>
          <w:sz w:val="22"/>
          <w:szCs w:val="22"/>
        </w:rPr>
        <w:t>LS on</w:t>
      </w:r>
      <w:bookmarkStart w:id="1" w:name="_Hlk49690525"/>
      <w:r w:rsidR="0053400E" w:rsidRPr="0053400E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="00D932B8">
        <w:rPr>
          <w:rFonts w:ascii="Arial" w:hAnsi="Arial" w:cs="Arial"/>
          <w:bCs/>
          <w:sz w:val="22"/>
          <w:szCs w:val="22"/>
        </w:rPr>
        <w:t>cell-grouping UE capability for synchronous NR-DC</w:t>
      </w:r>
    </w:p>
    <w:p w14:paraId="32522C64" w14:textId="5A4935DA" w:rsidR="00B97703" w:rsidRPr="00616ACC" w:rsidRDefault="00B97703" w:rsidP="00F96BA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2" w:name="OLE_LINK57"/>
      <w:bookmarkStart w:id="3" w:name="OLE_LINK58"/>
      <w:bookmarkEnd w:id="1"/>
      <w:r w:rsidRPr="008A5DBC">
        <w:rPr>
          <w:rFonts w:ascii="Arial" w:hAnsi="Arial" w:cs="Arial"/>
          <w:b/>
          <w:sz w:val="22"/>
          <w:szCs w:val="22"/>
        </w:rPr>
        <w:t>Response 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157DB865" w14:textId="69BB877A" w:rsidR="00B97703" w:rsidRPr="008A5DB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8A5DBC">
        <w:rPr>
          <w:rFonts w:ascii="Arial" w:hAnsi="Arial" w:cs="Arial"/>
          <w:b/>
          <w:sz w:val="22"/>
          <w:szCs w:val="22"/>
        </w:rPr>
        <w:t>Release: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390F76" w:rsidRPr="008A5DBC">
        <w:rPr>
          <w:rFonts w:ascii="Arial" w:hAnsi="Arial" w:cs="Arial"/>
          <w:bCs/>
          <w:sz w:val="22"/>
          <w:szCs w:val="22"/>
        </w:rPr>
        <w:t>Release 1</w:t>
      </w:r>
      <w:r w:rsidR="00D932B8">
        <w:rPr>
          <w:rFonts w:ascii="Arial" w:hAnsi="Arial" w:cs="Arial"/>
          <w:bCs/>
          <w:sz w:val="22"/>
          <w:szCs w:val="22"/>
        </w:rPr>
        <w:t>6</w:t>
      </w:r>
    </w:p>
    <w:bookmarkEnd w:id="4"/>
    <w:bookmarkEnd w:id="5"/>
    <w:bookmarkEnd w:id="6"/>
    <w:p w14:paraId="1317B9C9" w14:textId="57C64E98" w:rsidR="00B97703" w:rsidRDefault="00B97703">
      <w:pPr>
        <w:spacing w:after="60"/>
        <w:ind w:left="1985" w:hanging="1985"/>
        <w:rPr>
          <w:rFonts w:ascii="Arial" w:hAnsi="Arial" w:cs="Arial"/>
          <w:noProof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Work Item: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D932B8" w:rsidRPr="00D932B8">
        <w:rPr>
          <w:rFonts w:ascii="Arial" w:hAnsi="Arial" w:cs="Arial"/>
          <w:bCs/>
        </w:rPr>
        <w:t>LTE_NR_DC_CA_enh-Core</w:t>
      </w:r>
    </w:p>
    <w:p w14:paraId="103F0540" w14:textId="77777777" w:rsidR="00C4450F" w:rsidRPr="008A5DBC" w:rsidRDefault="00C4450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CB928B0" w14:textId="0764DC3C" w:rsidR="00B97703" w:rsidRPr="00616ACC" w:rsidRDefault="004E3939" w:rsidP="0011097D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Source:</w:t>
      </w:r>
      <w:r w:rsidRPr="008A5DBC">
        <w:rPr>
          <w:rFonts w:ascii="Arial" w:hAnsi="Arial" w:cs="Arial"/>
          <w:b/>
          <w:sz w:val="22"/>
          <w:szCs w:val="22"/>
        </w:rPr>
        <w:tab/>
      </w:r>
      <w:r w:rsidR="0079789D">
        <w:rPr>
          <w:rFonts w:ascii="Arial" w:hAnsi="Arial" w:cs="Arial"/>
          <w:sz w:val="22"/>
          <w:szCs w:val="22"/>
        </w:rPr>
        <w:t>Qualcomm Incorporated [To be RAN2]</w:t>
      </w:r>
    </w:p>
    <w:p w14:paraId="465AC9DE" w14:textId="69B14F39" w:rsidR="00B97703" w:rsidRPr="00AF36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53400E">
        <w:rPr>
          <w:rFonts w:ascii="Arial" w:hAnsi="Arial" w:cs="Arial"/>
          <w:bCs/>
          <w:sz w:val="22"/>
          <w:szCs w:val="22"/>
        </w:rPr>
        <w:t>RAN1</w:t>
      </w:r>
      <w:r w:rsidR="00D932B8">
        <w:rPr>
          <w:rFonts w:ascii="Arial" w:hAnsi="Arial" w:cs="Arial"/>
          <w:bCs/>
          <w:sz w:val="22"/>
          <w:szCs w:val="22"/>
        </w:rPr>
        <w:t>, RAN4</w:t>
      </w:r>
    </w:p>
    <w:p w14:paraId="23FF3300" w14:textId="52392AF4" w:rsidR="00B97703" w:rsidRPr="001615C5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7" w:name="OLE_LINK45"/>
      <w:bookmarkStart w:id="8" w:name="OLE_LINK46"/>
      <w:r w:rsidRPr="00AF364B">
        <w:rPr>
          <w:rFonts w:ascii="Arial" w:hAnsi="Arial" w:cs="Arial"/>
          <w:b/>
          <w:sz w:val="22"/>
          <w:szCs w:val="22"/>
        </w:rPr>
        <w:t>Cc:</w:t>
      </w:r>
      <w:r w:rsidRPr="00AF364B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10544951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0C8D5264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Contact person: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53400E">
        <w:rPr>
          <w:rFonts w:ascii="Arial" w:hAnsi="Arial" w:cs="Arial"/>
          <w:bCs/>
          <w:sz w:val="22"/>
          <w:szCs w:val="22"/>
        </w:rPr>
        <w:t>Masato Kitazoe</w:t>
      </w:r>
    </w:p>
    <w:p w14:paraId="249E6F04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53400E">
        <w:rPr>
          <w:rFonts w:ascii="Arial" w:hAnsi="Arial" w:cs="Arial"/>
          <w:bCs/>
          <w:sz w:val="22"/>
          <w:szCs w:val="22"/>
        </w:rPr>
        <w:t xml:space="preserve">mkitazoe </w:t>
      </w:r>
      <w:r w:rsidR="00757999" w:rsidRPr="008A5DBC">
        <w:rPr>
          <w:rFonts w:ascii="Arial" w:hAnsi="Arial" w:cs="Arial"/>
          <w:bCs/>
          <w:sz w:val="22"/>
          <w:szCs w:val="22"/>
        </w:rPr>
        <w:t xml:space="preserve">(at) qti (dot) qualcomm (dot) </w:t>
      </w:r>
      <w:r w:rsidR="00390F76" w:rsidRPr="008A5DBC">
        <w:rPr>
          <w:rFonts w:ascii="Arial" w:hAnsi="Arial" w:cs="Arial"/>
          <w:bCs/>
          <w:sz w:val="22"/>
          <w:szCs w:val="22"/>
        </w:rPr>
        <w:t>com</w:t>
      </w:r>
    </w:p>
    <w:p w14:paraId="6D15B821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7545B55C" w14:textId="77777777" w:rsidR="00B97703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Send any reply LS to:</w:t>
      </w:r>
      <w:r w:rsidRPr="008A5DBC">
        <w:rPr>
          <w:rFonts w:ascii="Arial" w:hAnsi="Arial" w:cs="Arial"/>
          <w:b/>
          <w:sz w:val="22"/>
          <w:szCs w:val="22"/>
        </w:rPr>
        <w:tab/>
      </w:r>
      <w:r w:rsidRPr="008A5DBC">
        <w:rPr>
          <w:rFonts w:ascii="Arial" w:hAnsi="Arial" w:cs="Arial"/>
          <w:sz w:val="22"/>
          <w:szCs w:val="22"/>
        </w:rPr>
        <w:t xml:space="preserve">3GPP Liaisons Coordinator, </w:t>
      </w:r>
      <w:hyperlink r:id="rId8" w:history="1">
        <w:r w:rsidRPr="008A5DBC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0E4B6F81" w14:textId="77777777" w:rsidR="00383545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015CAF" w14:textId="1979311D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Attachments:</w:t>
      </w:r>
      <w:r w:rsidRPr="008A5DBC">
        <w:rPr>
          <w:rFonts w:ascii="Arial" w:hAnsi="Arial" w:cs="Arial"/>
          <w:bCs/>
          <w:sz w:val="22"/>
          <w:szCs w:val="22"/>
        </w:rPr>
        <w:tab/>
      </w:r>
      <w:r w:rsidR="00D932B8">
        <w:rPr>
          <w:rFonts w:ascii="Arial" w:hAnsi="Arial" w:cs="Arial"/>
          <w:bCs/>
          <w:sz w:val="22"/>
          <w:szCs w:val="22"/>
        </w:rPr>
        <w:t>None</w:t>
      </w:r>
    </w:p>
    <w:p w14:paraId="724DA7F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8042B88" w14:textId="702B9F42" w:rsidR="00D932B8" w:rsidRDefault="00D932B8" w:rsidP="00C4450F">
      <w:pPr>
        <w:spacing w:after="0"/>
        <w:rPr>
          <w:rFonts w:eastAsiaTheme="minorEastAsia"/>
          <w:sz w:val="22"/>
          <w:szCs w:val="22"/>
        </w:rPr>
      </w:pPr>
      <w:bookmarkStart w:id="9" w:name="_Hlk7620913"/>
      <w:r>
        <w:rPr>
          <w:rFonts w:eastAsiaTheme="minorEastAsia"/>
          <w:sz w:val="22"/>
          <w:szCs w:val="22"/>
        </w:rPr>
        <w:t>RAN2 would like to inform RAN1 and RAN4 that RAN2 made the following agreement on the release-16 UE capabilit</w:t>
      </w:r>
      <w:r w:rsidR="000362CB">
        <w:rPr>
          <w:rFonts w:eastAsiaTheme="minorEastAsia"/>
          <w:sz w:val="22"/>
          <w:szCs w:val="22"/>
        </w:rPr>
        <w:t>ies</w:t>
      </w:r>
      <w:r>
        <w:rPr>
          <w:rFonts w:eastAsiaTheme="minorEastAsia"/>
          <w:sz w:val="22"/>
          <w:szCs w:val="22"/>
        </w:rPr>
        <w:t xml:space="preserve"> for NR-DC.</w:t>
      </w:r>
    </w:p>
    <w:p w14:paraId="5543D87F" w14:textId="2E22CD70" w:rsidR="00D932B8" w:rsidRDefault="00D932B8" w:rsidP="00C4450F">
      <w:pPr>
        <w:spacing w:after="0"/>
        <w:rPr>
          <w:rFonts w:eastAsiaTheme="minorEastAsia"/>
          <w:sz w:val="22"/>
          <w:szCs w:val="22"/>
        </w:rPr>
      </w:pPr>
    </w:p>
    <w:p w14:paraId="08300773" w14:textId="67EFFE6B" w:rsidR="000362CB" w:rsidRDefault="000362CB" w:rsidP="00C4450F">
      <w:pPr>
        <w:spacing w:after="0"/>
        <w:rPr>
          <w:rFonts w:eastAsiaTheme="minorEastAsia"/>
          <w:b/>
          <w:bCs/>
          <w:sz w:val="22"/>
          <w:szCs w:val="22"/>
        </w:rPr>
      </w:pPr>
      <w:r w:rsidRPr="000362CB">
        <w:rPr>
          <w:rFonts w:eastAsiaTheme="minorEastAsia" w:hint="eastAsia"/>
          <w:b/>
          <w:bCs/>
          <w:sz w:val="22"/>
          <w:szCs w:val="22"/>
        </w:rPr>
        <w:t>F</w:t>
      </w:r>
      <w:r w:rsidRPr="000362CB">
        <w:rPr>
          <w:rFonts w:eastAsiaTheme="minorEastAsia"/>
          <w:b/>
          <w:bCs/>
          <w:sz w:val="22"/>
          <w:szCs w:val="22"/>
        </w:rPr>
        <w:t>or asynchronous NR-DC:</w:t>
      </w:r>
    </w:p>
    <w:p w14:paraId="0D73B9C5" w14:textId="77777777" w:rsidR="000362CB" w:rsidRPr="000362CB" w:rsidRDefault="000362CB" w:rsidP="000362CB">
      <w:pPr>
        <w:pStyle w:val="ListParagraph"/>
        <w:numPr>
          <w:ilvl w:val="0"/>
          <w:numId w:val="29"/>
        </w:numPr>
        <w:spacing w:after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</w:t>
      </w:r>
      <w:r w:rsidRPr="000362CB">
        <w:rPr>
          <w:rFonts w:eastAsiaTheme="minorEastAsia"/>
          <w:sz w:val="22"/>
          <w:szCs w:val="22"/>
        </w:rPr>
        <w:t>ntroduce 1-bit indication on whether Rel-16 UE supports asynchronous operation and its supported cell grouping for a given band combination</w:t>
      </w:r>
      <w:r>
        <w:rPr>
          <w:rFonts w:eastAsiaTheme="minorEastAsia"/>
          <w:sz w:val="22"/>
          <w:szCs w:val="22"/>
        </w:rPr>
        <w:t>.</w:t>
      </w:r>
    </w:p>
    <w:p w14:paraId="2BAA7DA1" w14:textId="77777777" w:rsidR="000362CB" w:rsidRPr="000362CB" w:rsidRDefault="000362CB" w:rsidP="000362CB">
      <w:pPr>
        <w:pStyle w:val="ListParagraph"/>
        <w:numPr>
          <w:ilvl w:val="0"/>
          <w:numId w:val="29"/>
        </w:numPr>
        <w:spacing w:after="0"/>
        <w:rPr>
          <w:rFonts w:eastAsiaTheme="minorEastAsia"/>
          <w:sz w:val="22"/>
          <w:szCs w:val="22"/>
        </w:rPr>
      </w:pPr>
      <w:r w:rsidRPr="000362CB">
        <w:rPr>
          <w:rFonts w:eastAsiaTheme="minorEastAsia"/>
          <w:sz w:val="22"/>
          <w:szCs w:val="22"/>
        </w:rPr>
        <w:t>Absence of cell grouping signaling means the UE only support Rel-15 cell grouping (i.e. MCG fully in FR1 and SCG fully in FR2)</w:t>
      </w:r>
    </w:p>
    <w:p w14:paraId="193F2FA1" w14:textId="45D223C0" w:rsidR="000362CB" w:rsidRDefault="000362CB" w:rsidP="000362CB">
      <w:pPr>
        <w:pStyle w:val="ListParagraph"/>
        <w:numPr>
          <w:ilvl w:val="0"/>
          <w:numId w:val="29"/>
        </w:numPr>
        <w:spacing w:after="0"/>
        <w:rPr>
          <w:rFonts w:eastAsiaTheme="minorEastAsia"/>
          <w:sz w:val="22"/>
          <w:szCs w:val="22"/>
        </w:rPr>
      </w:pPr>
      <w:r w:rsidRPr="000362CB">
        <w:rPr>
          <w:rFonts w:eastAsiaTheme="minorEastAsia"/>
          <w:sz w:val="22"/>
          <w:szCs w:val="22"/>
        </w:rPr>
        <w:t xml:space="preserve">Cell grouping </w:t>
      </w:r>
      <w:r>
        <w:rPr>
          <w:rFonts w:eastAsiaTheme="minorEastAsia"/>
          <w:sz w:val="22"/>
          <w:szCs w:val="22"/>
        </w:rPr>
        <w:t xml:space="preserve">signaling </w:t>
      </w:r>
      <w:r w:rsidRPr="000362CB">
        <w:rPr>
          <w:rFonts w:eastAsiaTheme="minorEastAsia"/>
          <w:sz w:val="22"/>
          <w:szCs w:val="22"/>
        </w:rPr>
        <w:t>is supported, FFS: signaling detail of cell grouping (LTE cell grouping capability can be considered)</w:t>
      </w:r>
    </w:p>
    <w:p w14:paraId="7D003EBC" w14:textId="3A548928" w:rsidR="000362CB" w:rsidRPr="000362CB" w:rsidRDefault="000362CB" w:rsidP="000362CB">
      <w:pPr>
        <w:pStyle w:val="ListParagraph"/>
        <w:numPr>
          <w:ilvl w:val="0"/>
          <w:numId w:val="29"/>
        </w:numPr>
        <w:spacing w:after="0"/>
        <w:rPr>
          <w:rFonts w:eastAsiaTheme="minorEastAsia"/>
          <w:sz w:val="22"/>
          <w:szCs w:val="22"/>
        </w:rPr>
      </w:pPr>
      <w:r w:rsidRPr="000362CB">
        <w:rPr>
          <w:rFonts w:eastAsiaTheme="minorEastAsia"/>
          <w:sz w:val="22"/>
          <w:szCs w:val="22"/>
        </w:rPr>
        <w:t>MCG and SCG can be differentiated in cell grouping signaling (provided that we can finally agree on a signaling solution)</w:t>
      </w:r>
      <w:r>
        <w:rPr>
          <w:rFonts w:eastAsiaTheme="minorEastAsia"/>
          <w:sz w:val="22"/>
          <w:szCs w:val="22"/>
        </w:rPr>
        <w:t>.</w:t>
      </w:r>
      <w:r w:rsidRPr="000362CB">
        <w:rPr>
          <w:rFonts w:eastAsiaTheme="minorEastAsia"/>
          <w:sz w:val="22"/>
          <w:szCs w:val="22"/>
        </w:rPr>
        <w:t xml:space="preserve"> FFS how to signal.</w:t>
      </w:r>
    </w:p>
    <w:p w14:paraId="337F0D35" w14:textId="77777777" w:rsidR="00D932B8" w:rsidRDefault="00D932B8" w:rsidP="00C4450F">
      <w:pPr>
        <w:spacing w:after="0"/>
        <w:rPr>
          <w:rFonts w:eastAsiaTheme="minorEastAsia"/>
          <w:sz w:val="22"/>
          <w:szCs w:val="22"/>
        </w:rPr>
      </w:pPr>
    </w:p>
    <w:p w14:paraId="09405F46" w14:textId="35112DA0" w:rsidR="000362CB" w:rsidRDefault="000362CB" w:rsidP="000362CB">
      <w:pPr>
        <w:spacing w:after="0"/>
        <w:rPr>
          <w:rFonts w:eastAsiaTheme="minorEastAsia"/>
          <w:b/>
          <w:bCs/>
          <w:sz w:val="22"/>
          <w:szCs w:val="22"/>
        </w:rPr>
      </w:pPr>
      <w:r w:rsidRPr="000362CB">
        <w:rPr>
          <w:rFonts w:eastAsiaTheme="minorEastAsia" w:hint="eastAsia"/>
          <w:b/>
          <w:bCs/>
          <w:sz w:val="22"/>
          <w:szCs w:val="22"/>
        </w:rPr>
        <w:t>F</w:t>
      </w:r>
      <w:r w:rsidRPr="000362CB">
        <w:rPr>
          <w:rFonts w:eastAsiaTheme="minorEastAsia"/>
          <w:b/>
          <w:bCs/>
          <w:sz w:val="22"/>
          <w:szCs w:val="22"/>
        </w:rPr>
        <w:t>or synchronous NR-DC:</w:t>
      </w:r>
    </w:p>
    <w:p w14:paraId="58832975" w14:textId="77777777" w:rsidR="000362CB" w:rsidRPr="000362CB" w:rsidRDefault="000362CB" w:rsidP="000362CB">
      <w:pPr>
        <w:pStyle w:val="ListParagraph"/>
        <w:numPr>
          <w:ilvl w:val="0"/>
          <w:numId w:val="30"/>
        </w:numPr>
        <w:spacing w:after="0"/>
        <w:rPr>
          <w:rFonts w:eastAsiaTheme="minorEastAsia"/>
          <w:sz w:val="22"/>
          <w:szCs w:val="22"/>
        </w:rPr>
      </w:pPr>
      <w:r w:rsidRPr="000362CB">
        <w:rPr>
          <w:rFonts w:eastAsiaTheme="minorEastAsia"/>
          <w:sz w:val="22"/>
          <w:szCs w:val="22"/>
        </w:rPr>
        <w:t xml:space="preserve">Capture in 38.306 “The UE shall not report this UE capability from this release” in field description of </w:t>
      </w:r>
      <w:r w:rsidRPr="000362CB">
        <w:rPr>
          <w:rFonts w:eastAsiaTheme="minorEastAsia"/>
          <w:i/>
          <w:iCs/>
          <w:sz w:val="22"/>
          <w:szCs w:val="22"/>
        </w:rPr>
        <w:t>sfn-SyncNRDC</w:t>
      </w:r>
      <w:r>
        <w:rPr>
          <w:rFonts w:eastAsiaTheme="minorEastAsia"/>
          <w:sz w:val="22"/>
          <w:szCs w:val="22"/>
        </w:rPr>
        <w:t>.</w:t>
      </w:r>
    </w:p>
    <w:p w14:paraId="66F9AD55" w14:textId="6F67332C" w:rsidR="000362CB" w:rsidRDefault="00801364" w:rsidP="000362CB">
      <w:pPr>
        <w:pStyle w:val="ListParagraph"/>
        <w:numPr>
          <w:ilvl w:val="0"/>
          <w:numId w:val="30"/>
        </w:numPr>
        <w:spacing w:after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The </w:t>
      </w:r>
      <w:r w:rsidR="000362CB" w:rsidRPr="000362CB">
        <w:rPr>
          <w:rFonts w:eastAsiaTheme="minorEastAsia"/>
          <w:sz w:val="22"/>
          <w:szCs w:val="22"/>
        </w:rPr>
        <w:t xml:space="preserve">UE shall support Rel-15 </w:t>
      </w:r>
      <w:r w:rsidR="000362CB">
        <w:rPr>
          <w:rFonts w:eastAsiaTheme="minorEastAsia"/>
          <w:sz w:val="22"/>
          <w:szCs w:val="22"/>
        </w:rPr>
        <w:t xml:space="preserve">cell </w:t>
      </w:r>
      <w:r w:rsidR="000362CB" w:rsidRPr="000362CB">
        <w:rPr>
          <w:rFonts w:eastAsiaTheme="minorEastAsia"/>
          <w:sz w:val="22"/>
          <w:szCs w:val="22"/>
        </w:rPr>
        <w:t>grouping (i.e. MCG fully in FR1 and SCG fully in FR2), for backward compatibility with Rel-15 network. No new signaling is required to be introduced</w:t>
      </w:r>
      <w:r w:rsidR="000362CB">
        <w:rPr>
          <w:rFonts w:eastAsiaTheme="minorEastAsia"/>
          <w:sz w:val="22"/>
          <w:szCs w:val="22"/>
        </w:rPr>
        <w:t xml:space="preserve"> for this</w:t>
      </w:r>
      <w:r w:rsidR="000362CB" w:rsidRPr="000362CB">
        <w:rPr>
          <w:rFonts w:eastAsiaTheme="minorEastAsia"/>
          <w:sz w:val="22"/>
          <w:szCs w:val="22"/>
        </w:rPr>
        <w:t>.</w:t>
      </w:r>
    </w:p>
    <w:p w14:paraId="6F101F06" w14:textId="69DD39A7" w:rsidR="000362CB" w:rsidRPr="000362CB" w:rsidRDefault="000362CB" w:rsidP="000362CB">
      <w:pPr>
        <w:pStyle w:val="ListParagraph"/>
        <w:numPr>
          <w:ilvl w:val="0"/>
          <w:numId w:val="30"/>
        </w:numPr>
        <w:spacing w:after="0"/>
        <w:rPr>
          <w:rFonts w:eastAsiaTheme="minorEastAsia"/>
          <w:sz w:val="22"/>
          <w:szCs w:val="22"/>
        </w:rPr>
      </w:pPr>
      <w:r w:rsidRPr="000362CB">
        <w:rPr>
          <w:rFonts w:eastAsiaTheme="minorEastAsia"/>
          <w:sz w:val="22"/>
          <w:szCs w:val="22"/>
        </w:rPr>
        <w:t>RAN2 intends to introduce a releasre-16 UE capability for sync-DC (can be 1 bit, cell grouping or else) in a future meeting. Absence of such UE capability parameter means the UE supports Rel-15 cell grouping only (i.e. MCG fully in FR1 and SCG fully in FR2).</w:t>
      </w:r>
    </w:p>
    <w:p w14:paraId="278614D2" w14:textId="77777777" w:rsidR="00D932B8" w:rsidRPr="00D932B8" w:rsidRDefault="00D932B8" w:rsidP="00C4450F">
      <w:pPr>
        <w:spacing w:after="0"/>
        <w:rPr>
          <w:rFonts w:eastAsiaTheme="minorEastAsia"/>
          <w:sz w:val="22"/>
          <w:szCs w:val="22"/>
        </w:rPr>
      </w:pPr>
    </w:p>
    <w:p w14:paraId="187C79BC" w14:textId="0B7AB340" w:rsidR="00D932B8" w:rsidRDefault="00D932B8" w:rsidP="00C4450F">
      <w:pPr>
        <w:spacing w:after="0"/>
        <w:rPr>
          <w:rFonts w:eastAsiaTheme="minorEastAsia"/>
          <w:sz w:val="22"/>
          <w:szCs w:val="22"/>
        </w:rPr>
      </w:pPr>
    </w:p>
    <w:p w14:paraId="7D3B523F" w14:textId="6D5655C3" w:rsidR="000362CB" w:rsidRDefault="009C7385" w:rsidP="00C4450F">
      <w:pPr>
        <w:spacing w:after="0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R</w:t>
      </w:r>
      <w:r>
        <w:rPr>
          <w:rFonts w:eastAsiaTheme="minorEastAsia"/>
          <w:sz w:val="22"/>
          <w:szCs w:val="22"/>
        </w:rPr>
        <w:t xml:space="preserve">AN2 could not reach a consensus on the need of </w:t>
      </w:r>
      <w:r w:rsidRPr="000362CB">
        <w:rPr>
          <w:rFonts w:eastAsiaTheme="minorEastAsia"/>
          <w:sz w:val="22"/>
          <w:szCs w:val="22"/>
        </w:rPr>
        <w:t>cell grouping signaling</w:t>
      </w:r>
      <w:r>
        <w:rPr>
          <w:rFonts w:eastAsiaTheme="minorEastAsia"/>
          <w:sz w:val="22"/>
          <w:szCs w:val="22"/>
        </w:rPr>
        <w:t xml:space="preserve">, including the differentiation between MCG and SCG, </w:t>
      </w:r>
      <w:r w:rsidRPr="00F80375">
        <w:rPr>
          <w:rFonts w:eastAsiaTheme="minorEastAsia"/>
          <w:sz w:val="22"/>
          <w:szCs w:val="22"/>
        </w:rPr>
        <w:t xml:space="preserve">for </w:t>
      </w:r>
      <w:r w:rsidRPr="00F80375">
        <w:rPr>
          <w:rFonts w:eastAsiaTheme="minorEastAsia"/>
          <w:b/>
          <w:bCs/>
          <w:sz w:val="22"/>
          <w:szCs w:val="22"/>
        </w:rPr>
        <w:t>synchronous NR-DC</w:t>
      </w:r>
      <w:r>
        <w:rPr>
          <w:rFonts w:eastAsiaTheme="minorEastAsia"/>
          <w:sz w:val="22"/>
          <w:szCs w:val="22"/>
        </w:rPr>
        <w:t>.</w:t>
      </w:r>
    </w:p>
    <w:p w14:paraId="6A9D6917" w14:textId="77777777" w:rsidR="009C7385" w:rsidRPr="009C7385" w:rsidRDefault="009C7385" w:rsidP="00C4450F">
      <w:pPr>
        <w:spacing w:after="0"/>
        <w:rPr>
          <w:rFonts w:eastAsiaTheme="minorEastAsia"/>
          <w:sz w:val="22"/>
          <w:szCs w:val="22"/>
        </w:rPr>
      </w:pPr>
    </w:p>
    <w:p w14:paraId="685EC1BC" w14:textId="2A7AAD16" w:rsidR="009C7385" w:rsidRDefault="009C7385" w:rsidP="00A87839">
      <w:pPr>
        <w:spacing w:after="0"/>
        <w:ind w:leftChars="200" w:left="4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Some companies think it is not necessary for the following reasons.</w:t>
      </w:r>
    </w:p>
    <w:p w14:paraId="38D1DAED" w14:textId="77777777" w:rsidR="00A87839" w:rsidRPr="009C7385" w:rsidRDefault="00A87839" w:rsidP="00A87839">
      <w:pPr>
        <w:pStyle w:val="ListParagraph"/>
        <w:numPr>
          <w:ilvl w:val="0"/>
          <w:numId w:val="31"/>
        </w:numPr>
        <w:spacing w:after="0"/>
        <w:ind w:leftChars="200" w:left="76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In </w:t>
      </w:r>
      <w:r>
        <w:rPr>
          <w:rFonts w:eastAsiaTheme="minorEastAsia" w:hint="eastAsia"/>
          <w:sz w:val="22"/>
          <w:szCs w:val="22"/>
        </w:rPr>
        <w:t>L</w:t>
      </w:r>
      <w:r>
        <w:rPr>
          <w:rFonts w:eastAsiaTheme="minorEastAsia"/>
          <w:sz w:val="22"/>
          <w:szCs w:val="22"/>
        </w:rPr>
        <w:t>TE, cell grouping signaling is only defined for asynchronous DC, but not for synchronous DC.</w:t>
      </w:r>
    </w:p>
    <w:p w14:paraId="35046EB9" w14:textId="55CB7E0C" w:rsidR="009C7385" w:rsidRDefault="009C7385" w:rsidP="00A87839">
      <w:pPr>
        <w:pStyle w:val="ListParagraph"/>
        <w:numPr>
          <w:ilvl w:val="0"/>
          <w:numId w:val="31"/>
        </w:numPr>
        <w:spacing w:after="0"/>
        <w:ind w:leftChars="200" w:left="760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S</w:t>
      </w:r>
      <w:r>
        <w:rPr>
          <w:rFonts w:eastAsiaTheme="minorEastAsia"/>
          <w:sz w:val="22"/>
          <w:szCs w:val="22"/>
        </w:rPr>
        <w:t>ynchronous NR-DC is almost the same as NR CA from the UE implementation perspective.</w:t>
      </w:r>
    </w:p>
    <w:p w14:paraId="3944D84F" w14:textId="7E31F688" w:rsidR="009C7385" w:rsidRDefault="009C7385" w:rsidP="00A87839">
      <w:pPr>
        <w:pStyle w:val="ListParagraph"/>
        <w:numPr>
          <w:ilvl w:val="0"/>
          <w:numId w:val="31"/>
        </w:numPr>
        <w:spacing w:after="0"/>
        <w:ind w:leftChars="200" w:left="76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Supported cell grouping will be limited by NR-DC band combinations defined by RAN4.</w:t>
      </w:r>
    </w:p>
    <w:p w14:paraId="475019D7" w14:textId="66FC17A8" w:rsidR="009C7385" w:rsidRPr="00A87839" w:rsidRDefault="009C7385" w:rsidP="00A87839">
      <w:pPr>
        <w:spacing w:after="0"/>
        <w:ind w:leftChars="200" w:left="400"/>
        <w:rPr>
          <w:rFonts w:eastAsiaTheme="minorEastAsia"/>
          <w:sz w:val="22"/>
          <w:szCs w:val="22"/>
        </w:rPr>
      </w:pPr>
    </w:p>
    <w:p w14:paraId="70247DF7" w14:textId="680AB052" w:rsidR="009C7385" w:rsidRDefault="009C7385" w:rsidP="00A87839">
      <w:pPr>
        <w:spacing w:after="0"/>
        <w:ind w:leftChars="200" w:left="400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S</w:t>
      </w:r>
      <w:r>
        <w:rPr>
          <w:rFonts w:eastAsiaTheme="minorEastAsia"/>
          <w:sz w:val="22"/>
          <w:szCs w:val="22"/>
        </w:rPr>
        <w:t>ome companies think it is necessary for the following reasons.</w:t>
      </w:r>
    </w:p>
    <w:p w14:paraId="2C27F287" w14:textId="77777777" w:rsidR="00A87839" w:rsidRDefault="00A87839" w:rsidP="00A87839">
      <w:pPr>
        <w:pStyle w:val="ListParagraph"/>
        <w:numPr>
          <w:ilvl w:val="0"/>
          <w:numId w:val="31"/>
        </w:numPr>
        <w:spacing w:after="0"/>
        <w:ind w:leftChars="200" w:left="760"/>
        <w:rPr>
          <w:rFonts w:eastAsia="游明朝"/>
          <w:sz w:val="22"/>
          <w:szCs w:val="22"/>
        </w:rPr>
      </w:pPr>
      <w:r>
        <w:rPr>
          <w:rFonts w:eastAsia="游明朝"/>
          <w:sz w:val="22"/>
          <w:szCs w:val="22"/>
        </w:rPr>
        <w:t>NR supports FR2 (as a key difference from LTE)</w:t>
      </w:r>
    </w:p>
    <w:p w14:paraId="138FFD16" w14:textId="77777777" w:rsidR="00A87839" w:rsidRPr="00A87839" w:rsidRDefault="00A87839" w:rsidP="00A87839">
      <w:pPr>
        <w:pStyle w:val="ListParagraph"/>
        <w:numPr>
          <w:ilvl w:val="1"/>
          <w:numId w:val="31"/>
        </w:numPr>
        <w:spacing w:after="0"/>
        <w:ind w:leftChars="410" w:left="1240"/>
        <w:rPr>
          <w:rFonts w:eastAsia="游明朝"/>
          <w:sz w:val="22"/>
          <w:szCs w:val="22"/>
        </w:rPr>
      </w:pPr>
      <w:r>
        <w:rPr>
          <w:rFonts w:eastAsia="游明朝" w:hint="eastAsia"/>
          <w:sz w:val="22"/>
          <w:szCs w:val="22"/>
        </w:rPr>
        <w:lastRenderedPageBreak/>
        <w:t>T</w:t>
      </w:r>
      <w:r>
        <w:rPr>
          <w:rFonts w:eastAsia="游明朝"/>
          <w:sz w:val="22"/>
          <w:szCs w:val="22"/>
        </w:rPr>
        <w:t>he UE may not support FR2 MCG.</w:t>
      </w:r>
    </w:p>
    <w:p w14:paraId="15ECF8E1" w14:textId="77777777" w:rsidR="00A87839" w:rsidRDefault="00A87839" w:rsidP="00A87839">
      <w:pPr>
        <w:pStyle w:val="ListParagraph"/>
        <w:numPr>
          <w:ilvl w:val="1"/>
          <w:numId w:val="31"/>
        </w:numPr>
        <w:spacing w:after="0"/>
        <w:ind w:leftChars="410" w:left="1240"/>
        <w:rPr>
          <w:rFonts w:eastAsia="游明朝"/>
          <w:sz w:val="22"/>
          <w:szCs w:val="22"/>
        </w:rPr>
      </w:pPr>
      <w:r>
        <w:rPr>
          <w:rFonts w:eastAsia="游明朝" w:hint="eastAsia"/>
          <w:sz w:val="22"/>
          <w:szCs w:val="22"/>
        </w:rPr>
        <w:t>T</w:t>
      </w:r>
      <w:r>
        <w:rPr>
          <w:rFonts w:eastAsia="游明朝"/>
          <w:sz w:val="22"/>
          <w:szCs w:val="22"/>
        </w:rPr>
        <w:t>he UE may not support FR1-FR2 CA.</w:t>
      </w:r>
    </w:p>
    <w:p w14:paraId="7DA00021" w14:textId="081266A7" w:rsidR="00A87839" w:rsidRDefault="00A87839" w:rsidP="00A87839">
      <w:pPr>
        <w:pStyle w:val="ListParagraph"/>
        <w:numPr>
          <w:ilvl w:val="0"/>
          <w:numId w:val="31"/>
        </w:numPr>
        <w:spacing w:after="0"/>
        <w:ind w:leftChars="200" w:left="760"/>
        <w:rPr>
          <w:rFonts w:eastAsia="游明朝"/>
          <w:sz w:val="22"/>
          <w:szCs w:val="22"/>
        </w:rPr>
      </w:pPr>
      <w:r>
        <w:rPr>
          <w:rFonts w:eastAsia="游明朝" w:hint="eastAsia"/>
          <w:sz w:val="22"/>
          <w:szCs w:val="22"/>
        </w:rPr>
        <w:t>T</w:t>
      </w:r>
      <w:r>
        <w:rPr>
          <w:rFonts w:eastAsia="游明朝"/>
          <w:sz w:val="22"/>
          <w:szCs w:val="22"/>
        </w:rPr>
        <w:t>he UE may not support inter-CG power sharing for a given frequency range.</w:t>
      </w:r>
    </w:p>
    <w:p w14:paraId="6917547B" w14:textId="77777777" w:rsidR="00A87839" w:rsidRDefault="00A87839" w:rsidP="00A87839">
      <w:pPr>
        <w:pStyle w:val="ListParagraph"/>
        <w:numPr>
          <w:ilvl w:val="0"/>
          <w:numId w:val="31"/>
        </w:numPr>
        <w:spacing w:after="0"/>
        <w:ind w:leftChars="200" w:left="760"/>
        <w:rPr>
          <w:rFonts w:eastAsia="游明朝"/>
          <w:sz w:val="22"/>
          <w:szCs w:val="22"/>
        </w:rPr>
      </w:pPr>
      <w:r>
        <w:rPr>
          <w:rFonts w:eastAsia="游明朝"/>
          <w:sz w:val="22"/>
          <w:szCs w:val="22"/>
        </w:rPr>
        <w:t xml:space="preserve">The UE may not support </w:t>
      </w:r>
      <w:r w:rsidRPr="00A87839">
        <w:rPr>
          <w:rFonts w:eastAsia="游明朝"/>
          <w:sz w:val="22"/>
          <w:szCs w:val="22"/>
        </w:rPr>
        <w:t xml:space="preserve">PUCCH group </w:t>
      </w:r>
      <w:r>
        <w:rPr>
          <w:rFonts w:eastAsia="游明朝"/>
          <w:sz w:val="22"/>
          <w:szCs w:val="22"/>
        </w:rPr>
        <w:t xml:space="preserve">consisting of serving cells </w:t>
      </w:r>
      <w:r w:rsidRPr="00A87839">
        <w:rPr>
          <w:rFonts w:eastAsia="游明朝"/>
          <w:sz w:val="22"/>
          <w:szCs w:val="22"/>
        </w:rPr>
        <w:t>with different numerologies</w:t>
      </w:r>
      <w:r>
        <w:rPr>
          <w:rFonts w:eastAsia="游明朝"/>
          <w:sz w:val="22"/>
          <w:szCs w:val="22"/>
        </w:rPr>
        <w:t>.</w:t>
      </w:r>
    </w:p>
    <w:p w14:paraId="155F1B8C" w14:textId="77777777" w:rsidR="009C7385" w:rsidRPr="00A87839" w:rsidRDefault="009C7385" w:rsidP="001E11BD">
      <w:pPr>
        <w:spacing w:after="0"/>
        <w:rPr>
          <w:rFonts w:eastAsia="游明朝"/>
          <w:sz w:val="22"/>
          <w:szCs w:val="22"/>
        </w:rPr>
      </w:pPr>
    </w:p>
    <w:p w14:paraId="05827FD3" w14:textId="73B5C218" w:rsidR="00A87839" w:rsidRDefault="000A5047" w:rsidP="00C4450F">
      <w:pPr>
        <w:spacing w:after="0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R</w:t>
      </w:r>
      <w:r>
        <w:rPr>
          <w:rFonts w:eastAsiaTheme="minorEastAsia"/>
          <w:sz w:val="22"/>
          <w:szCs w:val="22"/>
        </w:rPr>
        <w:t xml:space="preserve">AN2 therefore would like to request RAN1 and RAN4 </w:t>
      </w:r>
      <w:bookmarkStart w:id="10" w:name="_Hlk49690202"/>
      <w:r w:rsidR="00F80375">
        <w:rPr>
          <w:rFonts w:eastAsiaTheme="minorEastAsia"/>
          <w:sz w:val="22"/>
          <w:szCs w:val="22"/>
        </w:rPr>
        <w:t>t</w:t>
      </w:r>
      <w:r w:rsidR="00F80375" w:rsidRPr="000A5047">
        <w:rPr>
          <w:rFonts w:eastAsiaTheme="minorEastAsia"/>
          <w:sz w:val="22"/>
          <w:szCs w:val="22"/>
        </w:rPr>
        <w:t>o review the views expressed in RAN2</w:t>
      </w:r>
      <w:r w:rsidR="00F80375">
        <w:rPr>
          <w:rFonts w:eastAsiaTheme="minorEastAsia"/>
          <w:sz w:val="22"/>
          <w:szCs w:val="22"/>
        </w:rPr>
        <w:t xml:space="preserve"> on c</w:t>
      </w:r>
      <w:r w:rsidR="00F80375" w:rsidRPr="000A5047">
        <w:rPr>
          <w:rFonts w:eastAsiaTheme="minorEastAsia"/>
          <w:sz w:val="22"/>
          <w:szCs w:val="22"/>
        </w:rPr>
        <w:t xml:space="preserve">ell grouping UE capability signaling for </w:t>
      </w:r>
      <w:r w:rsidR="00F80375" w:rsidRPr="00F80375">
        <w:rPr>
          <w:rFonts w:eastAsiaTheme="minorEastAsia"/>
          <w:b/>
          <w:bCs/>
          <w:sz w:val="22"/>
          <w:szCs w:val="22"/>
        </w:rPr>
        <w:t>synchronous NR-DC</w:t>
      </w:r>
      <w:r w:rsidR="00F80375" w:rsidRPr="000A5047">
        <w:rPr>
          <w:rFonts w:eastAsiaTheme="minorEastAsia"/>
          <w:sz w:val="22"/>
          <w:szCs w:val="22"/>
        </w:rPr>
        <w:t xml:space="preserve"> and provide their view on </w:t>
      </w:r>
      <w:r w:rsidR="00F80375">
        <w:rPr>
          <w:rFonts w:eastAsiaTheme="minorEastAsia"/>
          <w:sz w:val="22"/>
          <w:szCs w:val="22"/>
        </w:rPr>
        <w:t>the need of cell grouping UE capability signaling, including the need of differentiation between MCG and SCG</w:t>
      </w:r>
      <w:bookmarkEnd w:id="10"/>
      <w:r w:rsidR="00F80375">
        <w:rPr>
          <w:rFonts w:eastAsiaTheme="minorEastAsia"/>
          <w:sz w:val="22"/>
          <w:szCs w:val="22"/>
        </w:rPr>
        <w:t>.</w:t>
      </w:r>
    </w:p>
    <w:p w14:paraId="5410F532" w14:textId="77777777" w:rsidR="00F80375" w:rsidRPr="000A5047" w:rsidRDefault="00F80375" w:rsidP="00C4450F">
      <w:pPr>
        <w:spacing w:after="0"/>
        <w:rPr>
          <w:rFonts w:eastAsiaTheme="minorEastAsia"/>
          <w:sz w:val="22"/>
          <w:szCs w:val="22"/>
        </w:rPr>
      </w:pPr>
    </w:p>
    <w:bookmarkEnd w:id="9"/>
    <w:p w14:paraId="2D42605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677126B" w14:textId="6EC5CCB6" w:rsidR="00B97703" w:rsidRPr="005B7576" w:rsidRDefault="00B97703" w:rsidP="00EF3539">
      <w:pPr>
        <w:spacing w:after="120"/>
        <w:ind w:left="1985" w:hanging="1985"/>
        <w:rPr>
          <w:b/>
          <w:sz w:val="22"/>
          <w:szCs w:val="22"/>
        </w:rPr>
      </w:pPr>
      <w:r w:rsidRPr="005B7576">
        <w:rPr>
          <w:b/>
          <w:sz w:val="22"/>
          <w:szCs w:val="22"/>
        </w:rPr>
        <w:t>To</w:t>
      </w:r>
      <w:r w:rsidR="000F6242" w:rsidRPr="005B7576">
        <w:rPr>
          <w:b/>
          <w:sz w:val="22"/>
          <w:szCs w:val="22"/>
        </w:rPr>
        <w:t xml:space="preserve"> </w:t>
      </w:r>
      <w:r w:rsidR="00DB1444">
        <w:rPr>
          <w:b/>
          <w:sz w:val="22"/>
          <w:szCs w:val="22"/>
        </w:rPr>
        <w:t xml:space="preserve">3GPP </w:t>
      </w:r>
      <w:r w:rsidR="001E11BD">
        <w:rPr>
          <w:b/>
          <w:sz w:val="22"/>
          <w:szCs w:val="22"/>
        </w:rPr>
        <w:t>RAN1</w:t>
      </w:r>
      <w:r w:rsidR="000A5047">
        <w:rPr>
          <w:b/>
          <w:sz w:val="22"/>
          <w:szCs w:val="22"/>
        </w:rPr>
        <w:t xml:space="preserve"> and RAN4</w:t>
      </w:r>
    </w:p>
    <w:p w14:paraId="010A75C8" w14:textId="35255189" w:rsidR="00B97703" w:rsidRPr="000A5047" w:rsidRDefault="00B97703" w:rsidP="00534B9F">
      <w:pPr>
        <w:spacing w:after="120"/>
        <w:ind w:left="993" w:hanging="993"/>
        <w:rPr>
          <w:sz w:val="22"/>
          <w:szCs w:val="22"/>
        </w:rPr>
      </w:pPr>
      <w:r w:rsidRPr="005B7576">
        <w:rPr>
          <w:b/>
          <w:sz w:val="22"/>
          <w:szCs w:val="22"/>
        </w:rPr>
        <w:t xml:space="preserve">ACTION: </w:t>
      </w:r>
      <w:r w:rsidR="00F80375">
        <w:rPr>
          <w:rFonts w:eastAsiaTheme="minorEastAsia"/>
          <w:sz w:val="22"/>
          <w:szCs w:val="22"/>
        </w:rPr>
        <w:t>T</w:t>
      </w:r>
      <w:r w:rsidR="00F80375" w:rsidRPr="00F80375">
        <w:rPr>
          <w:rFonts w:eastAsiaTheme="minorEastAsia"/>
          <w:sz w:val="22"/>
          <w:szCs w:val="22"/>
        </w:rPr>
        <w:t>o review the views expressed in RAN2 on cell grouping UE capability signaling for synchronous NR-DC and provide their view on the need of cell grouping UE capability signaling, including the need of differentiation between MCG and SCG</w:t>
      </w:r>
      <w:r w:rsidR="00F80375">
        <w:rPr>
          <w:rFonts w:eastAsiaTheme="minorEastAsia"/>
          <w:sz w:val="22"/>
          <w:szCs w:val="22"/>
        </w:rPr>
        <w:t>.</w:t>
      </w:r>
    </w:p>
    <w:p w14:paraId="09552425" w14:textId="77777777" w:rsidR="00B97703" w:rsidRPr="0067058D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meetings</w:t>
      </w:r>
    </w:p>
    <w:p w14:paraId="2258528C" w14:textId="160DE461" w:rsidR="00214E87" w:rsidRPr="001E11BD" w:rsidRDefault="004B2FDC" w:rsidP="001E11BD">
      <w:pPr>
        <w:tabs>
          <w:tab w:val="left" w:pos="5103"/>
        </w:tabs>
        <w:spacing w:after="120"/>
        <w:ind w:left="2268" w:hanging="2268"/>
        <w:rPr>
          <w:rFonts w:ascii="Arial" w:eastAsia="Malgun Gothic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#1</w:t>
      </w:r>
      <w:r w:rsidR="00506C98" w:rsidRPr="0067058D">
        <w:rPr>
          <w:rFonts w:ascii="Arial" w:hAnsi="Arial" w:cs="Arial"/>
          <w:bCs/>
          <w:sz w:val="22"/>
          <w:szCs w:val="22"/>
        </w:rPr>
        <w:t>1</w:t>
      </w:r>
      <w:r w:rsidR="00D932B8">
        <w:rPr>
          <w:rFonts w:ascii="Arial" w:hAnsi="Arial" w:cs="Arial"/>
          <w:bCs/>
          <w:sz w:val="22"/>
          <w:szCs w:val="22"/>
        </w:rPr>
        <w:t>2</w:t>
      </w:r>
      <w:r w:rsidR="001E11BD">
        <w:rPr>
          <w:rFonts w:ascii="Arial" w:hAnsi="Arial" w:cs="Arial"/>
          <w:bCs/>
          <w:sz w:val="22"/>
          <w:szCs w:val="22"/>
        </w:rPr>
        <w:t>-e</w:t>
      </w:r>
      <w:r w:rsidRPr="0067058D">
        <w:rPr>
          <w:rFonts w:ascii="Arial" w:hAnsi="Arial" w:cs="Arial"/>
          <w:bCs/>
          <w:sz w:val="22"/>
          <w:szCs w:val="22"/>
        </w:rPr>
        <w:tab/>
      </w:r>
      <w:r w:rsidR="00D932B8">
        <w:rPr>
          <w:rFonts w:ascii="Arial" w:hAnsi="Arial" w:cs="Arial"/>
          <w:bCs/>
          <w:sz w:val="22"/>
          <w:szCs w:val="22"/>
        </w:rPr>
        <w:t>2</w:t>
      </w:r>
      <w:r w:rsidRPr="0067058D">
        <w:rPr>
          <w:rFonts w:ascii="Arial" w:hAnsi="Arial" w:cs="Arial"/>
          <w:bCs/>
          <w:sz w:val="22"/>
          <w:szCs w:val="22"/>
        </w:rPr>
        <w:t xml:space="preserve"> – </w:t>
      </w:r>
      <w:r w:rsidR="00D932B8">
        <w:rPr>
          <w:rFonts w:ascii="Arial" w:hAnsi="Arial" w:cs="Arial"/>
          <w:bCs/>
          <w:sz w:val="22"/>
          <w:szCs w:val="22"/>
        </w:rPr>
        <w:t>13</w:t>
      </w:r>
      <w:r w:rsidRPr="0067058D">
        <w:rPr>
          <w:rFonts w:ascii="Arial" w:hAnsi="Arial" w:cs="Arial"/>
          <w:bCs/>
          <w:sz w:val="22"/>
          <w:szCs w:val="22"/>
        </w:rPr>
        <w:t xml:space="preserve"> </w:t>
      </w:r>
      <w:r w:rsidR="00D932B8">
        <w:rPr>
          <w:rFonts w:ascii="Arial" w:hAnsi="Arial" w:cs="Arial"/>
          <w:bCs/>
          <w:sz w:val="22"/>
          <w:szCs w:val="22"/>
        </w:rPr>
        <w:t>November</w:t>
      </w:r>
      <w:r w:rsidRPr="0067058D">
        <w:rPr>
          <w:rFonts w:ascii="Arial" w:hAnsi="Arial" w:cs="Arial"/>
          <w:bCs/>
          <w:sz w:val="22"/>
          <w:szCs w:val="22"/>
        </w:rPr>
        <w:t xml:space="preserve"> 2020, </w:t>
      </w:r>
      <w:r w:rsidR="001E11BD">
        <w:rPr>
          <w:rFonts w:ascii="Arial" w:hAnsi="Arial" w:cs="Arial"/>
          <w:bCs/>
          <w:sz w:val="22"/>
          <w:szCs w:val="22"/>
        </w:rPr>
        <w:t>Electronic</w:t>
      </w:r>
    </w:p>
    <w:sectPr w:rsidR="00214E87" w:rsidRPr="001E11B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92BBA" w14:textId="77777777" w:rsidR="00366939" w:rsidRDefault="00366939">
      <w:pPr>
        <w:spacing w:after="0"/>
      </w:pPr>
      <w:r>
        <w:separator/>
      </w:r>
    </w:p>
  </w:endnote>
  <w:endnote w:type="continuationSeparator" w:id="0">
    <w:p w14:paraId="5CAB0FB3" w14:textId="77777777" w:rsidR="00366939" w:rsidRDefault="003669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CE2DB" w14:textId="77777777" w:rsidR="00366939" w:rsidRDefault="00366939">
      <w:pPr>
        <w:spacing w:after="0"/>
      </w:pPr>
      <w:r>
        <w:separator/>
      </w:r>
    </w:p>
  </w:footnote>
  <w:footnote w:type="continuationSeparator" w:id="0">
    <w:p w14:paraId="06AA319C" w14:textId="77777777" w:rsidR="00366939" w:rsidRDefault="003669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4FF16AC"/>
    <w:multiLevelType w:val="hybridMultilevel"/>
    <w:tmpl w:val="EF9E3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F237B"/>
    <w:multiLevelType w:val="hybridMultilevel"/>
    <w:tmpl w:val="C7F80BCE"/>
    <w:lvl w:ilvl="0" w:tplc="92568C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D07FF"/>
    <w:multiLevelType w:val="hybridMultilevel"/>
    <w:tmpl w:val="F132B6C8"/>
    <w:lvl w:ilvl="0" w:tplc="92568C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40EF8"/>
    <w:multiLevelType w:val="hybridMultilevel"/>
    <w:tmpl w:val="F610530C"/>
    <w:lvl w:ilvl="0" w:tplc="A162DF5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30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8"/>
  </w:num>
  <w:num w:numId="4">
    <w:abstractNumId w:val="6"/>
  </w:num>
  <w:num w:numId="5">
    <w:abstractNumId w:val="29"/>
  </w:num>
  <w:num w:numId="6">
    <w:abstractNumId w:val="3"/>
  </w:num>
  <w:num w:numId="7">
    <w:abstractNumId w:val="24"/>
  </w:num>
  <w:num w:numId="8">
    <w:abstractNumId w:val="12"/>
  </w:num>
  <w:num w:numId="9">
    <w:abstractNumId w:val="15"/>
  </w:num>
  <w:num w:numId="10">
    <w:abstractNumId w:val="8"/>
  </w:num>
  <w:num w:numId="11">
    <w:abstractNumId w:val="5"/>
  </w:num>
  <w:num w:numId="12">
    <w:abstractNumId w:val="0"/>
  </w:num>
  <w:num w:numId="13">
    <w:abstractNumId w:val="23"/>
  </w:num>
  <w:num w:numId="14">
    <w:abstractNumId w:val="28"/>
  </w:num>
  <w:num w:numId="15">
    <w:abstractNumId w:val="30"/>
  </w:num>
  <w:num w:numId="16">
    <w:abstractNumId w:val="2"/>
  </w:num>
  <w:num w:numId="17">
    <w:abstractNumId w:val="19"/>
  </w:num>
  <w:num w:numId="18">
    <w:abstractNumId w:val="16"/>
  </w:num>
  <w:num w:numId="19">
    <w:abstractNumId w:val="4"/>
  </w:num>
  <w:num w:numId="20">
    <w:abstractNumId w:val="14"/>
  </w:num>
  <w:num w:numId="21">
    <w:abstractNumId w:val="11"/>
  </w:num>
  <w:num w:numId="22">
    <w:abstractNumId w:val="9"/>
  </w:num>
  <w:num w:numId="23">
    <w:abstractNumId w:val="1"/>
  </w:num>
  <w:num w:numId="24">
    <w:abstractNumId w:val="13"/>
  </w:num>
  <w:num w:numId="25">
    <w:abstractNumId w:val="26"/>
  </w:num>
  <w:num w:numId="26">
    <w:abstractNumId w:val="21"/>
  </w:num>
  <w:num w:numId="27">
    <w:abstractNumId w:val="10"/>
  </w:num>
  <w:num w:numId="28">
    <w:abstractNumId w:val="7"/>
  </w:num>
  <w:num w:numId="29">
    <w:abstractNumId w:val="17"/>
  </w:num>
  <w:num w:numId="30">
    <w:abstractNumId w:val="22"/>
  </w:num>
  <w:num w:numId="31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6E"/>
    <w:rsid w:val="00004B53"/>
    <w:rsid w:val="00006392"/>
    <w:rsid w:val="00006E77"/>
    <w:rsid w:val="00016CA7"/>
    <w:rsid w:val="00017F23"/>
    <w:rsid w:val="00023798"/>
    <w:rsid w:val="00023F25"/>
    <w:rsid w:val="000328D9"/>
    <w:rsid w:val="00033586"/>
    <w:rsid w:val="000352E6"/>
    <w:rsid w:val="000362CB"/>
    <w:rsid w:val="00041396"/>
    <w:rsid w:val="00043860"/>
    <w:rsid w:val="00043BD5"/>
    <w:rsid w:val="000451C3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A5047"/>
    <w:rsid w:val="000B2D7F"/>
    <w:rsid w:val="000B412B"/>
    <w:rsid w:val="000C00AB"/>
    <w:rsid w:val="000C0F80"/>
    <w:rsid w:val="000D0E7B"/>
    <w:rsid w:val="000D51CA"/>
    <w:rsid w:val="000D60D5"/>
    <w:rsid w:val="000D6D8F"/>
    <w:rsid w:val="000F1384"/>
    <w:rsid w:val="000F6242"/>
    <w:rsid w:val="000F7BD1"/>
    <w:rsid w:val="00100025"/>
    <w:rsid w:val="00102EA3"/>
    <w:rsid w:val="00103F8F"/>
    <w:rsid w:val="0011097D"/>
    <w:rsid w:val="00123E63"/>
    <w:rsid w:val="00146782"/>
    <w:rsid w:val="00147A6B"/>
    <w:rsid w:val="00157248"/>
    <w:rsid w:val="00157345"/>
    <w:rsid w:val="001615C5"/>
    <w:rsid w:val="00167E48"/>
    <w:rsid w:val="00180763"/>
    <w:rsid w:val="001971E4"/>
    <w:rsid w:val="001A365E"/>
    <w:rsid w:val="001A60BB"/>
    <w:rsid w:val="001C250E"/>
    <w:rsid w:val="001C34E1"/>
    <w:rsid w:val="001D240A"/>
    <w:rsid w:val="001E11BD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2A16"/>
    <w:rsid w:val="00236894"/>
    <w:rsid w:val="002433C3"/>
    <w:rsid w:val="00246C4C"/>
    <w:rsid w:val="00246DD5"/>
    <w:rsid w:val="00247224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97AC0"/>
    <w:rsid w:val="002A3E86"/>
    <w:rsid w:val="002B020F"/>
    <w:rsid w:val="002B1C6F"/>
    <w:rsid w:val="002B226F"/>
    <w:rsid w:val="002C3DBF"/>
    <w:rsid w:val="002C6239"/>
    <w:rsid w:val="002D692C"/>
    <w:rsid w:val="002E0C4B"/>
    <w:rsid w:val="002E127B"/>
    <w:rsid w:val="002F1940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66939"/>
    <w:rsid w:val="0037267B"/>
    <w:rsid w:val="003746A7"/>
    <w:rsid w:val="00383545"/>
    <w:rsid w:val="003853C1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4C61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6DAF"/>
    <w:rsid w:val="00467F13"/>
    <w:rsid w:val="00470BAC"/>
    <w:rsid w:val="00477859"/>
    <w:rsid w:val="00490D5F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3400E"/>
    <w:rsid w:val="00534B9F"/>
    <w:rsid w:val="00537CCF"/>
    <w:rsid w:val="005404E7"/>
    <w:rsid w:val="00540B17"/>
    <w:rsid w:val="00543962"/>
    <w:rsid w:val="00546893"/>
    <w:rsid w:val="005470B7"/>
    <w:rsid w:val="0055117F"/>
    <w:rsid w:val="005513DC"/>
    <w:rsid w:val="00552844"/>
    <w:rsid w:val="00577947"/>
    <w:rsid w:val="00596BC7"/>
    <w:rsid w:val="005970ED"/>
    <w:rsid w:val="005B20C7"/>
    <w:rsid w:val="005B5AE4"/>
    <w:rsid w:val="005B7576"/>
    <w:rsid w:val="005C14AE"/>
    <w:rsid w:val="005C3CAB"/>
    <w:rsid w:val="005C61F7"/>
    <w:rsid w:val="005D44F7"/>
    <w:rsid w:val="005D657C"/>
    <w:rsid w:val="005D7661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A77A2"/>
    <w:rsid w:val="006B562A"/>
    <w:rsid w:val="006B5B74"/>
    <w:rsid w:val="006D23A6"/>
    <w:rsid w:val="006E3EC2"/>
    <w:rsid w:val="006E692F"/>
    <w:rsid w:val="006F24A2"/>
    <w:rsid w:val="006F3107"/>
    <w:rsid w:val="00700BEC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504B"/>
    <w:rsid w:val="007370C2"/>
    <w:rsid w:val="00745A28"/>
    <w:rsid w:val="00751A48"/>
    <w:rsid w:val="007522F9"/>
    <w:rsid w:val="00753F87"/>
    <w:rsid w:val="00757999"/>
    <w:rsid w:val="00770C65"/>
    <w:rsid w:val="00773AD1"/>
    <w:rsid w:val="00782378"/>
    <w:rsid w:val="0078302D"/>
    <w:rsid w:val="007833B3"/>
    <w:rsid w:val="00785A90"/>
    <w:rsid w:val="0078741F"/>
    <w:rsid w:val="0079789D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1364"/>
    <w:rsid w:val="0080779C"/>
    <w:rsid w:val="0081117C"/>
    <w:rsid w:val="0083154D"/>
    <w:rsid w:val="0083337E"/>
    <w:rsid w:val="00834DD8"/>
    <w:rsid w:val="008373AA"/>
    <w:rsid w:val="00851F36"/>
    <w:rsid w:val="00860046"/>
    <w:rsid w:val="00873A89"/>
    <w:rsid w:val="00874016"/>
    <w:rsid w:val="008766F3"/>
    <w:rsid w:val="00885AD2"/>
    <w:rsid w:val="00892752"/>
    <w:rsid w:val="008A2D06"/>
    <w:rsid w:val="008A31A2"/>
    <w:rsid w:val="008A476D"/>
    <w:rsid w:val="008A5DBC"/>
    <w:rsid w:val="008A64DA"/>
    <w:rsid w:val="008B0875"/>
    <w:rsid w:val="008B1768"/>
    <w:rsid w:val="008B7C32"/>
    <w:rsid w:val="008C4127"/>
    <w:rsid w:val="008D772F"/>
    <w:rsid w:val="008E384F"/>
    <w:rsid w:val="008F35D0"/>
    <w:rsid w:val="008F6315"/>
    <w:rsid w:val="009016FE"/>
    <w:rsid w:val="009026E5"/>
    <w:rsid w:val="00903587"/>
    <w:rsid w:val="00903FC5"/>
    <w:rsid w:val="00904BE5"/>
    <w:rsid w:val="00910ED3"/>
    <w:rsid w:val="009134AC"/>
    <w:rsid w:val="009175A8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3175"/>
    <w:rsid w:val="0097595E"/>
    <w:rsid w:val="00982172"/>
    <w:rsid w:val="00991D9B"/>
    <w:rsid w:val="0099764C"/>
    <w:rsid w:val="009A553E"/>
    <w:rsid w:val="009B10E4"/>
    <w:rsid w:val="009B4F00"/>
    <w:rsid w:val="009B5770"/>
    <w:rsid w:val="009B6621"/>
    <w:rsid w:val="009C18B4"/>
    <w:rsid w:val="009C2797"/>
    <w:rsid w:val="009C7385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87839"/>
    <w:rsid w:val="00A92389"/>
    <w:rsid w:val="00A9415A"/>
    <w:rsid w:val="00A974CB"/>
    <w:rsid w:val="00A97CDC"/>
    <w:rsid w:val="00AA37D4"/>
    <w:rsid w:val="00AA3F6B"/>
    <w:rsid w:val="00AB353B"/>
    <w:rsid w:val="00AB7199"/>
    <w:rsid w:val="00AB7A42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10FC1"/>
    <w:rsid w:val="00C116CD"/>
    <w:rsid w:val="00C1174F"/>
    <w:rsid w:val="00C117CC"/>
    <w:rsid w:val="00C14B72"/>
    <w:rsid w:val="00C369AC"/>
    <w:rsid w:val="00C42B50"/>
    <w:rsid w:val="00C4450F"/>
    <w:rsid w:val="00C464B4"/>
    <w:rsid w:val="00C64BEA"/>
    <w:rsid w:val="00C665BD"/>
    <w:rsid w:val="00C70D9F"/>
    <w:rsid w:val="00C73AC5"/>
    <w:rsid w:val="00C7419A"/>
    <w:rsid w:val="00C77304"/>
    <w:rsid w:val="00C81B05"/>
    <w:rsid w:val="00C82985"/>
    <w:rsid w:val="00C90234"/>
    <w:rsid w:val="00C90BB1"/>
    <w:rsid w:val="00C9126E"/>
    <w:rsid w:val="00C914A2"/>
    <w:rsid w:val="00C928D8"/>
    <w:rsid w:val="00CB1B02"/>
    <w:rsid w:val="00CB4090"/>
    <w:rsid w:val="00CC0DBD"/>
    <w:rsid w:val="00CC1F09"/>
    <w:rsid w:val="00CC2F12"/>
    <w:rsid w:val="00CC76CA"/>
    <w:rsid w:val="00CD3D72"/>
    <w:rsid w:val="00CD6AC5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5316D"/>
    <w:rsid w:val="00D53893"/>
    <w:rsid w:val="00D65E7B"/>
    <w:rsid w:val="00D67673"/>
    <w:rsid w:val="00D71CD6"/>
    <w:rsid w:val="00D92475"/>
    <w:rsid w:val="00D932B8"/>
    <w:rsid w:val="00D976F0"/>
    <w:rsid w:val="00DA1ACA"/>
    <w:rsid w:val="00DB1444"/>
    <w:rsid w:val="00DB5C54"/>
    <w:rsid w:val="00DC3565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E056B5"/>
    <w:rsid w:val="00E05D00"/>
    <w:rsid w:val="00E15EC7"/>
    <w:rsid w:val="00E23AA6"/>
    <w:rsid w:val="00E26CF0"/>
    <w:rsid w:val="00E35351"/>
    <w:rsid w:val="00E43684"/>
    <w:rsid w:val="00E45444"/>
    <w:rsid w:val="00E4609C"/>
    <w:rsid w:val="00E51165"/>
    <w:rsid w:val="00E53D4F"/>
    <w:rsid w:val="00E55E5A"/>
    <w:rsid w:val="00E637F3"/>
    <w:rsid w:val="00E70734"/>
    <w:rsid w:val="00E72AC5"/>
    <w:rsid w:val="00E96BEE"/>
    <w:rsid w:val="00EB5721"/>
    <w:rsid w:val="00EC057B"/>
    <w:rsid w:val="00ED0A33"/>
    <w:rsid w:val="00ED0B37"/>
    <w:rsid w:val="00EE22DF"/>
    <w:rsid w:val="00EF288A"/>
    <w:rsid w:val="00EF3539"/>
    <w:rsid w:val="00F04DA4"/>
    <w:rsid w:val="00F079E5"/>
    <w:rsid w:val="00F153A0"/>
    <w:rsid w:val="00F22C17"/>
    <w:rsid w:val="00F3119E"/>
    <w:rsid w:val="00F40B8A"/>
    <w:rsid w:val="00F5052C"/>
    <w:rsid w:val="00F509DA"/>
    <w:rsid w:val="00F5451A"/>
    <w:rsid w:val="00F5481F"/>
    <w:rsid w:val="00F55776"/>
    <w:rsid w:val="00F61B90"/>
    <w:rsid w:val="00F750A7"/>
    <w:rsid w:val="00F76218"/>
    <w:rsid w:val="00F76F11"/>
    <w:rsid w:val="00F77850"/>
    <w:rsid w:val="00F80375"/>
    <w:rsid w:val="00F84009"/>
    <w:rsid w:val="00F93E3C"/>
    <w:rsid w:val="00F950AB"/>
    <w:rsid w:val="00F96BAD"/>
    <w:rsid w:val="00FA1CFE"/>
    <w:rsid w:val="00FA2C77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4EEF1"/>
  <w15:chartTrackingRefBased/>
  <w15:docId w15:val="{39794C34-3102-4D88-BBA0-4D9FF7B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1F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5C61F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5C61F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5C61F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5C61F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5C61F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5C61F7"/>
    <w:pPr>
      <w:outlineLvl w:val="5"/>
    </w:pPr>
  </w:style>
  <w:style w:type="paragraph" w:styleId="Heading7">
    <w:name w:val="heading 7"/>
    <w:basedOn w:val="H6"/>
    <w:next w:val="Normal"/>
    <w:qFormat/>
    <w:rsid w:val="005C61F7"/>
    <w:pPr>
      <w:outlineLvl w:val="6"/>
    </w:pPr>
  </w:style>
  <w:style w:type="paragraph" w:styleId="Heading8">
    <w:name w:val="heading 8"/>
    <w:basedOn w:val="Heading1"/>
    <w:next w:val="Normal"/>
    <w:qFormat/>
    <w:rsid w:val="005C61F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C61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5C61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/>
    </w:rPr>
  </w:style>
  <w:style w:type="paragraph" w:styleId="Footer">
    <w:name w:val="footer"/>
    <w:basedOn w:val="Header"/>
    <w:semiHidden/>
    <w:rsid w:val="005C61F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5C61F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val="en-GB"/>
    </w:rPr>
  </w:style>
  <w:style w:type="paragraph" w:styleId="TOC8">
    <w:name w:val="toc 8"/>
    <w:basedOn w:val="TOC1"/>
    <w:semiHidden/>
    <w:rsid w:val="005C61F7"/>
    <w:pPr>
      <w:spacing w:before="180"/>
      <w:ind w:left="2693" w:hanging="2693"/>
    </w:pPr>
    <w:rPr>
      <w:b/>
    </w:rPr>
  </w:style>
  <w:style w:type="paragraph" w:styleId="TOC1">
    <w:name w:val="toc 1"/>
    <w:semiHidden/>
    <w:rsid w:val="005C61F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C61F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C61F7"/>
    <w:pPr>
      <w:ind w:left="1701" w:hanging="1701"/>
    </w:pPr>
  </w:style>
  <w:style w:type="paragraph" w:styleId="TOC4">
    <w:name w:val="toc 4"/>
    <w:basedOn w:val="TOC3"/>
    <w:semiHidden/>
    <w:rsid w:val="005C61F7"/>
    <w:pPr>
      <w:ind w:left="1418" w:hanging="1418"/>
    </w:pPr>
  </w:style>
  <w:style w:type="paragraph" w:styleId="TOC3">
    <w:name w:val="toc 3"/>
    <w:basedOn w:val="TOC2"/>
    <w:semiHidden/>
    <w:rsid w:val="005C61F7"/>
    <w:pPr>
      <w:ind w:left="1134" w:hanging="1134"/>
    </w:pPr>
  </w:style>
  <w:style w:type="paragraph" w:styleId="TOC2">
    <w:name w:val="toc 2"/>
    <w:basedOn w:val="TOC1"/>
    <w:semiHidden/>
    <w:rsid w:val="005C61F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C61F7"/>
    <w:pPr>
      <w:ind w:left="284"/>
    </w:pPr>
  </w:style>
  <w:style w:type="paragraph" w:styleId="Index1">
    <w:name w:val="index 1"/>
    <w:basedOn w:val="Normal"/>
    <w:semiHidden/>
    <w:rsid w:val="005C61F7"/>
    <w:pPr>
      <w:keepLines/>
      <w:spacing w:after="0"/>
    </w:pPr>
  </w:style>
  <w:style w:type="paragraph" w:customStyle="1" w:styleId="ZH">
    <w:name w:val="ZH"/>
    <w:rsid w:val="005C61F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TT">
    <w:name w:val="TT"/>
    <w:basedOn w:val="Heading1"/>
    <w:next w:val="Normal"/>
    <w:rsid w:val="005C61F7"/>
    <w:pPr>
      <w:outlineLvl w:val="9"/>
    </w:pPr>
  </w:style>
  <w:style w:type="paragraph" w:styleId="ListNumber2">
    <w:name w:val="List Number 2"/>
    <w:basedOn w:val="ListNumber"/>
    <w:semiHidden/>
    <w:rsid w:val="005C61F7"/>
    <w:pPr>
      <w:ind w:left="851"/>
    </w:pPr>
  </w:style>
  <w:style w:type="character" w:styleId="FootnoteReference">
    <w:name w:val="footnote reference"/>
    <w:basedOn w:val="DefaultParagraphFont"/>
    <w:semiHidden/>
    <w:rsid w:val="005C61F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C61F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5C61F7"/>
    <w:rPr>
      <w:b/>
    </w:rPr>
  </w:style>
  <w:style w:type="paragraph" w:customStyle="1" w:styleId="TAC">
    <w:name w:val="TAC"/>
    <w:basedOn w:val="TAL"/>
    <w:rsid w:val="005C61F7"/>
    <w:pPr>
      <w:jc w:val="center"/>
    </w:pPr>
  </w:style>
  <w:style w:type="paragraph" w:customStyle="1" w:styleId="TF">
    <w:name w:val="TF"/>
    <w:basedOn w:val="TH"/>
    <w:rsid w:val="005C61F7"/>
    <w:pPr>
      <w:keepNext w:val="0"/>
      <w:spacing w:before="0" w:after="240"/>
    </w:pPr>
  </w:style>
  <w:style w:type="paragraph" w:customStyle="1" w:styleId="NO">
    <w:name w:val="NO"/>
    <w:basedOn w:val="Normal"/>
    <w:rsid w:val="005C61F7"/>
    <w:pPr>
      <w:keepLines/>
      <w:ind w:left="1135" w:hanging="851"/>
    </w:pPr>
  </w:style>
  <w:style w:type="paragraph" w:styleId="TOC9">
    <w:name w:val="toc 9"/>
    <w:basedOn w:val="TOC8"/>
    <w:semiHidden/>
    <w:rsid w:val="005C61F7"/>
    <w:pPr>
      <w:ind w:left="1418" w:hanging="1418"/>
    </w:pPr>
  </w:style>
  <w:style w:type="paragraph" w:customStyle="1" w:styleId="EX">
    <w:name w:val="EX"/>
    <w:basedOn w:val="Normal"/>
    <w:rsid w:val="005C61F7"/>
    <w:pPr>
      <w:keepLines/>
      <w:ind w:left="1702" w:hanging="1418"/>
    </w:pPr>
  </w:style>
  <w:style w:type="paragraph" w:customStyle="1" w:styleId="FP">
    <w:name w:val="FP"/>
    <w:basedOn w:val="Normal"/>
    <w:rsid w:val="005C61F7"/>
    <w:pPr>
      <w:spacing w:after="0"/>
    </w:pPr>
  </w:style>
  <w:style w:type="paragraph" w:customStyle="1" w:styleId="LD">
    <w:name w:val="LD"/>
    <w:rsid w:val="005C61F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C61F7"/>
    <w:pPr>
      <w:spacing w:after="0"/>
    </w:pPr>
  </w:style>
  <w:style w:type="paragraph" w:customStyle="1" w:styleId="EW">
    <w:name w:val="EW"/>
    <w:basedOn w:val="EX"/>
    <w:rsid w:val="005C61F7"/>
    <w:pPr>
      <w:spacing w:after="0"/>
    </w:pPr>
  </w:style>
  <w:style w:type="paragraph" w:styleId="TOC6">
    <w:name w:val="toc 6"/>
    <w:basedOn w:val="TOC5"/>
    <w:next w:val="Normal"/>
    <w:semiHidden/>
    <w:rsid w:val="005C61F7"/>
    <w:pPr>
      <w:ind w:left="1985" w:hanging="1985"/>
    </w:pPr>
  </w:style>
  <w:style w:type="paragraph" w:styleId="TOC7">
    <w:name w:val="toc 7"/>
    <w:basedOn w:val="TOC6"/>
    <w:next w:val="Normal"/>
    <w:semiHidden/>
    <w:rsid w:val="005C61F7"/>
    <w:pPr>
      <w:ind w:left="2268" w:hanging="2268"/>
    </w:pPr>
  </w:style>
  <w:style w:type="paragraph" w:styleId="ListBullet2">
    <w:name w:val="List Bullet 2"/>
    <w:basedOn w:val="ListBullet"/>
    <w:semiHidden/>
    <w:rsid w:val="005C61F7"/>
    <w:pPr>
      <w:ind w:left="851"/>
    </w:pPr>
  </w:style>
  <w:style w:type="paragraph" w:styleId="ListBullet3">
    <w:name w:val="List Bullet 3"/>
    <w:basedOn w:val="ListBullet2"/>
    <w:semiHidden/>
    <w:rsid w:val="005C61F7"/>
    <w:pPr>
      <w:ind w:left="1135"/>
    </w:pPr>
  </w:style>
  <w:style w:type="paragraph" w:styleId="ListNumber">
    <w:name w:val="List Number"/>
    <w:basedOn w:val="List"/>
    <w:semiHidden/>
    <w:rsid w:val="005C61F7"/>
  </w:style>
  <w:style w:type="paragraph" w:customStyle="1" w:styleId="EQ">
    <w:name w:val="EQ"/>
    <w:basedOn w:val="Normal"/>
    <w:next w:val="Normal"/>
    <w:rsid w:val="005C61F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C61F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C61F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C61F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C61F7"/>
    <w:pPr>
      <w:jc w:val="right"/>
    </w:pPr>
  </w:style>
  <w:style w:type="paragraph" w:customStyle="1" w:styleId="H6">
    <w:name w:val="H6"/>
    <w:basedOn w:val="Heading5"/>
    <w:next w:val="Normal"/>
    <w:rsid w:val="005C61F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C61F7"/>
    <w:pPr>
      <w:ind w:left="851" w:hanging="851"/>
    </w:pPr>
  </w:style>
  <w:style w:type="paragraph" w:customStyle="1" w:styleId="TAL">
    <w:name w:val="TAL"/>
    <w:basedOn w:val="Normal"/>
    <w:rsid w:val="005C61F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C61F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C61F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C61F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C61F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C61F7"/>
    <w:pPr>
      <w:framePr w:wrap="notBeside" w:y="16161"/>
    </w:pPr>
  </w:style>
  <w:style w:type="character" w:customStyle="1" w:styleId="ZGSM">
    <w:name w:val="ZGSM"/>
    <w:rsid w:val="005C61F7"/>
  </w:style>
  <w:style w:type="paragraph" w:styleId="List2">
    <w:name w:val="List 2"/>
    <w:basedOn w:val="List"/>
    <w:semiHidden/>
    <w:rsid w:val="005C61F7"/>
    <w:pPr>
      <w:ind w:left="851"/>
    </w:pPr>
  </w:style>
  <w:style w:type="paragraph" w:customStyle="1" w:styleId="ZG">
    <w:name w:val="ZG"/>
    <w:rsid w:val="005C61F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semiHidden/>
    <w:rsid w:val="005C61F7"/>
    <w:pPr>
      <w:ind w:left="1135"/>
    </w:pPr>
  </w:style>
  <w:style w:type="paragraph" w:styleId="List4">
    <w:name w:val="List 4"/>
    <w:basedOn w:val="List3"/>
    <w:semiHidden/>
    <w:rsid w:val="005C61F7"/>
    <w:pPr>
      <w:ind w:left="1418"/>
    </w:pPr>
  </w:style>
  <w:style w:type="paragraph" w:styleId="List5">
    <w:name w:val="List 5"/>
    <w:basedOn w:val="List4"/>
    <w:semiHidden/>
    <w:rsid w:val="005C61F7"/>
    <w:pPr>
      <w:ind w:left="1702"/>
    </w:pPr>
  </w:style>
  <w:style w:type="paragraph" w:customStyle="1" w:styleId="EditorsNote">
    <w:name w:val="Editor's Note"/>
    <w:basedOn w:val="NO"/>
    <w:rsid w:val="005C61F7"/>
    <w:rPr>
      <w:color w:val="FF0000"/>
    </w:rPr>
  </w:style>
  <w:style w:type="paragraph" w:styleId="List">
    <w:name w:val="List"/>
    <w:basedOn w:val="Normal"/>
    <w:semiHidden/>
    <w:rsid w:val="005C61F7"/>
    <w:pPr>
      <w:ind w:left="568" w:hanging="284"/>
    </w:pPr>
  </w:style>
  <w:style w:type="paragraph" w:styleId="ListBullet">
    <w:name w:val="List Bullet"/>
    <w:basedOn w:val="List"/>
    <w:semiHidden/>
    <w:rsid w:val="005C61F7"/>
  </w:style>
  <w:style w:type="paragraph" w:styleId="ListBullet4">
    <w:name w:val="List Bullet 4"/>
    <w:basedOn w:val="ListBullet3"/>
    <w:semiHidden/>
    <w:rsid w:val="005C61F7"/>
    <w:pPr>
      <w:ind w:left="1418"/>
    </w:pPr>
  </w:style>
  <w:style w:type="paragraph" w:styleId="ListBullet5">
    <w:name w:val="List Bullet 5"/>
    <w:basedOn w:val="ListBullet4"/>
    <w:semiHidden/>
    <w:rsid w:val="005C61F7"/>
    <w:pPr>
      <w:ind w:left="1702"/>
    </w:pPr>
  </w:style>
  <w:style w:type="paragraph" w:customStyle="1" w:styleId="B2">
    <w:name w:val="B2"/>
    <w:basedOn w:val="List2"/>
    <w:rsid w:val="005C61F7"/>
  </w:style>
  <w:style w:type="paragraph" w:customStyle="1" w:styleId="B3">
    <w:name w:val="B3"/>
    <w:basedOn w:val="List3"/>
    <w:rsid w:val="005C61F7"/>
  </w:style>
  <w:style w:type="paragraph" w:customStyle="1" w:styleId="B4">
    <w:name w:val="B4"/>
    <w:basedOn w:val="List4"/>
    <w:rsid w:val="005C61F7"/>
  </w:style>
  <w:style w:type="paragraph" w:customStyle="1" w:styleId="B5">
    <w:name w:val="B5"/>
    <w:basedOn w:val="List5"/>
    <w:rsid w:val="005C61F7"/>
  </w:style>
  <w:style w:type="paragraph" w:customStyle="1" w:styleId="ZTD">
    <w:name w:val="ZTD"/>
    <w:basedOn w:val="ZB"/>
    <w:rsid w:val="005C61F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ＭＳ 明朝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ＭＳ 明朝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BF5726"/>
    <w:pPr>
      <w:ind w:left="720"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53400E"/>
    <w:rPr>
      <w:lang w:val="en-GB" w:eastAsia="ko-KR"/>
    </w:rPr>
  </w:style>
  <w:style w:type="table" w:styleId="TableGrid">
    <w:name w:val="Table Grid"/>
    <w:basedOn w:val="TableNormal"/>
    <w:uiPriority w:val="59"/>
    <w:rsid w:val="00D9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F9ED-40E7-4E36-A8C4-1636AB8E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3288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Qualcomm (Masato)</cp:lastModifiedBy>
  <cp:revision>7</cp:revision>
  <cp:lastPrinted>2002-04-23T00:10:00Z</cp:lastPrinted>
  <dcterms:created xsi:type="dcterms:W3CDTF">2020-06-27T10:58:00Z</dcterms:created>
  <dcterms:modified xsi:type="dcterms:W3CDTF">2020-08-30T05:59:00Z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