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Stage 1 CRs on on the end-to-end latency via satellite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end-to-end latency via satellite in clause 7.4.2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end-to-end latency via satellite in clause 7.4.2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end-to-end latency via satellite in clause 7.4.2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end-to-end latency via satellite in clause 7.4.2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SP-251507</vt:lpwstr>
  </property>
  <property fmtid="{D5CDD505-2E9C-101B-9397-08002B2CF9AE}" pid="19" name="CrpackTitle">
    <vt:lpwstr>Stage 1 CRs on on the end-to-end latency via satellite</vt:lpwstr>
  </property>
  <property fmtid="{D5CDD505-2E9C-101B-9397-08002B2CF9AE}" pid="20" name="Agenda#">
    <vt:lpwstr>17</vt:lpwstr>
  </property>
  <property fmtid="{D5CDD505-2E9C-101B-9397-08002B2CF9AE}" pid="21" name="Source">
    <vt:lpwstr>SA WG1</vt:lpwstr>
  </property>
</Properties>
</file>