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(NR_repeaters, NR_netcon_repeater, NR_IAB-Perf)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(NR_repeaters-Core)CR for 38.106, Correction on unwanted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6.5.1, 6.5.3.1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(NR_netcon_repeater-Core)CR for 38.106, Correction on unwanted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6.5.1, 6.5.3.1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(NR_netcon_repeater-Core)CR for 38.106, Correction on unwanted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(NR_repeaters-Core) CR on TS 38.106, correction of EESS protection requirements (Rel-17)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7.5.4.2.3.1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(NR_repeaters-Core) CR on TS 38.106, correction of EESS protection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(NR_repeaters-Core) CR on TS 38.106, correction of EESS protection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38.106, correction on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38.106, correction on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38.115-1, correction on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38.115-1, correction on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on TS 38.115-2, correction of EESS protection requirements (Rel-17)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6.5.4.5.4.1, Annex-C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on TS 38.115-2, correction of EESS protection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(NR_repeaters-Perf) CR on TS 38.115-2, correction of EESS protection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on TS 38.176-2, correction of EESS protection requirements (Rel-16)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6.7.5.4.5, 7.7.5.2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on TS 38.176-2, correction of EESS protection requirements (Rel-17)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on TS 38.176-2, correction of EESS protection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on TS 38.176-2, correction of EESS protection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RP-260464</vt:lpwstr>
  </property>
  <property fmtid="{D5CDD505-2E9C-101B-9397-08002B2CF9AE}" pid="19" name="CrpackTitle">
    <vt:lpwstr>RAN4 CRs to Maintenance for closed WIs/SIs of REL-18 and earlier (NR_repeaters, NR_netcon_repeater, NR_IAB-Perf)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