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IoT_NTN_Ph3-Perf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10.5.1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36.108 for Rel-19 IoT-NTN Phase 3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test case for CB-Msg3 procedure for NB-IoT with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(new) A.13.3.2.4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CR: Introduction of SAN demodulation requirements for IoT-NTN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8.5.1, 11.5.1, A.16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RP-260447</vt:lpwstr>
  </property>
  <property fmtid="{D5CDD505-2E9C-101B-9397-08002B2CF9AE}" pid="19" name="CrpackTitle">
    <vt:lpwstr>RAN4 CRs to IoT_NTN_Ph3-Perf</vt:lpwstr>
  </property>
  <property fmtid="{D5CDD505-2E9C-101B-9397-08002B2CF9AE}" pid="20" name="Agenda#">
    <vt:lpwstr>10.5.1</vt:lpwstr>
  </property>
  <property fmtid="{D5CDD505-2E9C-101B-9397-08002B2CF9AE}" pid="21" name="Source">
    <vt:lpwstr>RAN4</vt:lpwstr>
  </property>
</Properties>
</file>