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RP-253744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RAN2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UE Capabilities, NR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9.11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UE capability to support early CSI acquisition for L3 handover [EarlyCSI_L3HO]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R2-2509310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China Unicom, Sony, Turkcell, NTT Docomo INC., Meta, Ericsson, Reliance Jio, Vodafone, ZTE Corporation, BT Plc., Deutsche Telekom, Vivo, LG Electronics Inc., Xiaomi, NEC, Samsung,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4.2.7.2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 38.331 CR 5587TS 38.212 CR 0236TS 38.214 CR 0722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1381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of Rel-19 UE capability, including [Simul_SRSCS], [Common_PDCCH_rep_TN], [Pos_SRSHop]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R2-2509468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TEI19, NR_MIMO_Ph5-Core, NR_duplex_evo-Core, NR_Mob_Ph4-Core, NR_ENDC_SON_MDT_Ph4-Core, NR_AIML_air-Core, NR_LPWUS-Core, Netw_Energy_NR_enh-Core, NR_NTN_Ph3-Core, NR_XR_Ph3-Core, NonCol_intraB_ENDC_NR_CA_Ph2, NR_RRM_Ph5-Core, NR_NTN_Ku_bands, NR_MC_enh2-Core, NR_LBCA_Sw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UE capability for eventD2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R2-2509378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CSCN, ZTE Corporation, Sanechips, Huawei, Hisilicon, Apple, OPPO, Fujitsu, CATT, Xiaomi, CMCC,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NR_NTN_enh-Core, 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of Rel-19 UE capability, including [Simul_SRSCS], [Common_PDCCH_rep_TN], [Pos_SRSHop]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R2-2509469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TEI19, NR_MIMO_Ph5-Core, NR_duplex_evo-Core, NR_Mob_Ph4-Core, NR_ENDC_SON_MDT_Ph4-Core, NR_AIML_air-Core, NR_LPWUS-Core, NR_NTN_Ph3-Core, NR_ENDC_RF_Ph4-Core, NR_RRM_Ph5-Core, NR_NTN_Ku_bands, NR_MC_enh2-Core, NR_LBCA_Sw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5618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eventD2 (Rel-19)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R2-2509476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CSCN, ZTE Corporation, Sanechips, Huawei, Hisilicon, Apple, OPPO, Fujitsu, CATT, Xiaomi, CMCC,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NR_NTN_enh-Core, 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RP-253744</vt:lpwstr>
  </property>
  <property fmtid="{D5CDD505-2E9C-101B-9397-08002B2CF9AE}" pid="19" name="CrpackTitle">
    <vt:lpwstr>UE Capabilities, NR</vt:lpwstr>
  </property>
  <property fmtid="{D5CDD505-2E9C-101B-9397-08002B2CF9AE}" pid="20" name="Agenda#">
    <vt:lpwstr>9.11</vt:lpwstr>
  </property>
  <property fmtid="{D5CDD505-2E9C-101B-9397-08002B2CF9AE}" pid="21" name="Source">
    <vt:lpwstr>RAN2</vt:lpwstr>
  </property>
</Properties>
</file>