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BB0" w:rsidRPr="00C176E2" w:rsidRDefault="004A1BB0" w:rsidP="004A1BB0">
      <w:pPr>
        <w:pStyle w:val="CRCoverPage"/>
        <w:tabs>
          <w:tab w:val="right" w:pos="9639"/>
        </w:tabs>
        <w:spacing w:after="0"/>
        <w:rPr>
          <w:b/>
          <w:noProof/>
          <w:sz w:val="24"/>
          <w:lang w:val="en-US"/>
        </w:rPr>
      </w:pPr>
      <w:r w:rsidRPr="00BC1240">
        <w:rPr>
          <w:b/>
          <w:noProof/>
          <w:sz w:val="24"/>
        </w:rPr>
        <w:t>3GPP TSG</w:t>
      </w:r>
      <w:r w:rsidR="0049733C">
        <w:rPr>
          <w:b/>
          <w:noProof/>
          <w:sz w:val="24"/>
        </w:rPr>
        <w:t xml:space="preserve"> S</w:t>
      </w:r>
      <w:r w:rsidR="0008781C">
        <w:rPr>
          <w:b/>
          <w:noProof/>
          <w:sz w:val="24"/>
        </w:rPr>
        <w:t>A</w:t>
      </w:r>
      <w:r w:rsidR="0049733C">
        <w:rPr>
          <w:b/>
          <w:noProof/>
          <w:sz w:val="24"/>
        </w:rPr>
        <w:t>#</w:t>
      </w:r>
      <w:r w:rsidR="00862F41">
        <w:rPr>
          <w:b/>
          <w:noProof/>
          <w:sz w:val="24"/>
        </w:rPr>
        <w:t>80</w:t>
      </w:r>
      <w:r w:rsidR="00FC5EE9">
        <w:rPr>
          <w:b/>
          <w:noProof/>
          <w:sz w:val="24"/>
        </w:rPr>
        <w:t>, CT#</w:t>
      </w:r>
      <w:r w:rsidR="00862F41">
        <w:rPr>
          <w:b/>
          <w:noProof/>
          <w:sz w:val="24"/>
        </w:rPr>
        <w:t>80</w:t>
      </w:r>
      <w:r w:rsidR="00690ED5">
        <w:rPr>
          <w:b/>
          <w:noProof/>
          <w:sz w:val="24"/>
        </w:rPr>
        <w:tab/>
        <w:t>S</w:t>
      </w:r>
      <w:r w:rsidR="00C176E2">
        <w:rPr>
          <w:b/>
          <w:noProof/>
          <w:sz w:val="24"/>
        </w:rPr>
        <w:t>P</w:t>
      </w:r>
      <w:r w:rsidR="00690ED5">
        <w:rPr>
          <w:b/>
          <w:noProof/>
          <w:sz w:val="24"/>
        </w:rPr>
        <w:t>-1</w:t>
      </w:r>
      <w:r w:rsidR="00177F72">
        <w:rPr>
          <w:b/>
          <w:noProof/>
          <w:sz w:val="24"/>
        </w:rPr>
        <w:t>8</w:t>
      </w:r>
      <w:r w:rsidR="00EF0538">
        <w:rPr>
          <w:b/>
          <w:noProof/>
          <w:sz w:val="24"/>
        </w:rPr>
        <w:t>0292</w:t>
      </w:r>
      <w:r w:rsidR="00FC5EE9">
        <w:rPr>
          <w:b/>
          <w:noProof/>
          <w:sz w:val="24"/>
        </w:rPr>
        <w:t>, CP-18</w:t>
      </w:r>
      <w:r w:rsidR="00766094">
        <w:rPr>
          <w:b/>
          <w:noProof/>
          <w:sz w:val="24"/>
        </w:rPr>
        <w:t>1165</w:t>
      </w:r>
    </w:p>
    <w:p w:rsidR="004A1BB0" w:rsidRDefault="00862F41" w:rsidP="004A1BB0">
      <w:pPr>
        <w:pStyle w:val="CRCoverPage"/>
        <w:tabs>
          <w:tab w:val="right" w:pos="9639"/>
        </w:tabs>
        <w:spacing w:after="0"/>
        <w:rPr>
          <w:b/>
          <w:noProof/>
          <w:sz w:val="24"/>
        </w:rPr>
      </w:pPr>
      <w:r>
        <w:rPr>
          <w:b/>
          <w:noProof/>
          <w:sz w:val="24"/>
        </w:rPr>
        <w:t>La Jolla, San Diego</w:t>
      </w:r>
      <w:r w:rsidR="00837283" w:rsidRPr="00837283">
        <w:rPr>
          <w:b/>
          <w:noProof/>
          <w:sz w:val="24"/>
        </w:rPr>
        <w:t xml:space="preserve">, </w:t>
      </w:r>
      <w:r w:rsidR="00177F72">
        <w:rPr>
          <w:b/>
          <w:noProof/>
          <w:sz w:val="24"/>
        </w:rPr>
        <w:t>1</w:t>
      </w:r>
      <w:r>
        <w:rPr>
          <w:b/>
          <w:noProof/>
          <w:sz w:val="24"/>
        </w:rPr>
        <w:t>1</w:t>
      </w:r>
      <w:r w:rsidR="00177F72">
        <w:rPr>
          <w:b/>
          <w:noProof/>
          <w:sz w:val="24"/>
          <w:vertAlign w:val="superscript"/>
        </w:rPr>
        <w:t>th</w:t>
      </w:r>
      <w:r w:rsidR="00837283" w:rsidRPr="00837283">
        <w:rPr>
          <w:b/>
          <w:noProof/>
          <w:sz w:val="24"/>
        </w:rPr>
        <w:t xml:space="preserve"> – </w:t>
      </w:r>
      <w:r>
        <w:rPr>
          <w:b/>
          <w:noProof/>
          <w:sz w:val="24"/>
        </w:rPr>
        <w:t>15</w:t>
      </w:r>
      <w:r>
        <w:rPr>
          <w:b/>
          <w:noProof/>
          <w:sz w:val="24"/>
          <w:vertAlign w:val="superscript"/>
        </w:rPr>
        <w:t>th</w:t>
      </w:r>
      <w:r w:rsidR="00837283" w:rsidRPr="00837283">
        <w:rPr>
          <w:b/>
          <w:noProof/>
          <w:sz w:val="24"/>
        </w:rPr>
        <w:t xml:space="preserve"> </w:t>
      </w:r>
      <w:r>
        <w:rPr>
          <w:b/>
          <w:noProof/>
          <w:sz w:val="24"/>
        </w:rPr>
        <w:t>June</w:t>
      </w:r>
      <w:r w:rsidR="00177F72">
        <w:rPr>
          <w:b/>
          <w:noProof/>
          <w:sz w:val="24"/>
        </w:rPr>
        <w:t xml:space="preserve"> 2018</w:t>
      </w:r>
      <w:r w:rsidR="00690ED5">
        <w:rPr>
          <w:b/>
          <w:noProof/>
          <w:sz w:val="24"/>
        </w:rPr>
        <w:tab/>
      </w:r>
      <w:r w:rsidR="00690ED5" w:rsidRPr="00177F72">
        <w:rPr>
          <w:b/>
          <w:i/>
          <w:noProof/>
          <w:sz w:val="24"/>
        </w:rPr>
        <w:t>(revision of S</w:t>
      </w:r>
      <w:r w:rsidR="00C176E2" w:rsidRPr="00177F72">
        <w:rPr>
          <w:b/>
          <w:i/>
          <w:noProof/>
          <w:sz w:val="24"/>
        </w:rPr>
        <w:t>P</w:t>
      </w:r>
      <w:r w:rsidR="00690ED5" w:rsidRPr="00177F72">
        <w:rPr>
          <w:b/>
          <w:i/>
          <w:noProof/>
          <w:sz w:val="24"/>
        </w:rPr>
        <w:t>-1</w:t>
      </w:r>
      <w:r w:rsidR="00177F72" w:rsidRPr="00177F72">
        <w:rPr>
          <w:b/>
          <w:i/>
          <w:noProof/>
          <w:sz w:val="24"/>
        </w:rPr>
        <w:t>8</w:t>
      </w:r>
      <w:r w:rsidR="00000F2C" w:rsidRPr="00177F72">
        <w:rPr>
          <w:b/>
          <w:i/>
          <w:noProof/>
          <w:sz w:val="24"/>
        </w:rPr>
        <w:t>xxxx</w:t>
      </w:r>
      <w:r w:rsidR="004A1BB0" w:rsidRPr="00177F72">
        <w:rPr>
          <w:b/>
          <w:i/>
          <w:noProof/>
          <w:sz w:val="24"/>
        </w:rPr>
        <w:t>)</w:t>
      </w:r>
    </w:p>
    <w:p w:rsidR="00CD2478" w:rsidRDefault="00CD2478" w:rsidP="00CD2478">
      <w:pPr>
        <w:rPr>
          <w:rFonts w:ascii="Arial" w:hAnsi="Arial" w:cs="Arial"/>
          <w:b/>
          <w:bCs/>
        </w:rPr>
      </w:pPr>
    </w:p>
    <w:p w:rsidR="00862F41" w:rsidRDefault="00E66ECE" w:rsidP="00E66ECE">
      <w:pPr>
        <w:spacing w:after="120"/>
        <w:ind w:left="1985" w:hanging="1985"/>
        <w:rPr>
          <w:rFonts w:ascii="Arial" w:hAnsi="Arial" w:cs="Arial"/>
          <w:b/>
          <w:bCs/>
          <w:color w:val="120100"/>
          <w:szCs w:val="18"/>
          <w:lang w:val="en-US"/>
        </w:rPr>
      </w:pPr>
      <w:r w:rsidRPr="00E66ECE">
        <w:rPr>
          <w:rFonts w:ascii="Arial" w:hAnsi="Arial" w:cs="Arial"/>
          <w:b/>
          <w:bCs/>
          <w:color w:val="120100"/>
          <w:szCs w:val="18"/>
          <w:lang w:val="en-US"/>
        </w:rPr>
        <w:t>Sou</w:t>
      </w:r>
      <w:r w:rsidR="00E60EC9">
        <w:rPr>
          <w:rFonts w:ascii="Arial" w:hAnsi="Arial" w:cs="Arial"/>
          <w:b/>
          <w:bCs/>
          <w:color w:val="120100"/>
          <w:szCs w:val="18"/>
          <w:lang w:val="en-US"/>
        </w:rPr>
        <w:t>rce:                           </w:t>
      </w:r>
      <w:r w:rsidRPr="00E66ECE">
        <w:rPr>
          <w:rFonts w:ascii="Arial" w:hAnsi="Arial" w:cs="Arial"/>
          <w:b/>
          <w:bCs/>
          <w:color w:val="120100"/>
          <w:szCs w:val="18"/>
          <w:lang w:val="en-US"/>
        </w:rPr>
        <w:t>3GPP TSG SA Chairman (Samsung)</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Title:                                </w:t>
      </w:r>
      <w:r w:rsidR="00862F41">
        <w:rPr>
          <w:rFonts w:ascii="Arial" w:hAnsi="Arial" w:cs="Arial"/>
          <w:b/>
          <w:bCs/>
          <w:color w:val="120100"/>
          <w:szCs w:val="18"/>
          <w:lang w:val="en-US"/>
        </w:rPr>
        <w:t>3GPP TSG SA Open Door Policy</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Agenda item:                  </w:t>
      </w:r>
      <w:r w:rsidR="000A0607">
        <w:rPr>
          <w:rFonts w:ascii="Arial" w:hAnsi="Arial" w:cs="Arial"/>
          <w:b/>
          <w:bCs/>
          <w:color w:val="120100"/>
          <w:szCs w:val="18"/>
          <w:lang w:val="en-US"/>
        </w:rPr>
        <w:t xml:space="preserve">SA: </w:t>
      </w:r>
      <w:r w:rsidRPr="00E66ECE">
        <w:rPr>
          <w:rFonts w:ascii="Arial" w:hAnsi="Arial" w:cs="Arial"/>
          <w:b/>
          <w:bCs/>
          <w:color w:val="120100"/>
          <w:szCs w:val="18"/>
          <w:lang w:val="en-US"/>
        </w:rPr>
        <w:t>5 (Early Consideration)</w:t>
      </w:r>
      <w:r w:rsidR="000A0607">
        <w:rPr>
          <w:rFonts w:ascii="Arial" w:hAnsi="Arial" w:cs="Arial"/>
          <w:b/>
          <w:bCs/>
          <w:color w:val="120100"/>
          <w:szCs w:val="18"/>
          <w:lang w:val="en-US"/>
        </w:rPr>
        <w:t>, CT: 19 (AOB)</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Document for:                Discussion</w:t>
      </w:r>
    </w:p>
    <w:p w:rsidR="00CD2478" w:rsidRPr="00E66ECE" w:rsidRDefault="00CD2478" w:rsidP="009F5DAC">
      <w:pPr>
        <w:pBdr>
          <w:bottom w:val="single" w:sz="12" w:space="1" w:color="auto"/>
        </w:pBdr>
        <w:spacing w:after="120"/>
        <w:rPr>
          <w:rFonts w:ascii="Arial" w:hAnsi="Arial" w:cs="Arial"/>
          <w:b/>
          <w:bCs/>
          <w:lang w:val="en-US"/>
        </w:rPr>
      </w:pPr>
    </w:p>
    <w:p w:rsidR="00C176E2" w:rsidRPr="00F61EE3" w:rsidRDefault="00C176E2" w:rsidP="00C176E2">
      <w:pPr>
        <w:rPr>
          <w:rFonts w:ascii="Arial" w:hAnsi="Arial" w:cs="Arial"/>
          <w:b/>
          <w:i/>
          <w:sz w:val="18"/>
        </w:rPr>
      </w:pPr>
      <w:r w:rsidRPr="00F61EE3">
        <w:rPr>
          <w:rFonts w:ascii="Arial" w:hAnsi="Arial" w:cs="Arial"/>
          <w:b/>
          <w:i/>
          <w:sz w:val="18"/>
        </w:rPr>
        <w:t>Abstract</w:t>
      </w:r>
    </w:p>
    <w:p w:rsidR="00E66ECE" w:rsidRPr="00B83282" w:rsidRDefault="00862F41" w:rsidP="00B83282">
      <w:pPr>
        <w:spacing w:after="0"/>
        <w:rPr>
          <w:rFonts w:eastAsia="Times New Roman"/>
          <w:sz w:val="24"/>
          <w:szCs w:val="24"/>
          <w:lang w:val="en-US"/>
        </w:rPr>
      </w:pPr>
      <w:r>
        <w:rPr>
          <w:rFonts w:ascii="Arial" w:eastAsia="Times New Roman" w:hAnsi="Arial" w:cs="Arial"/>
          <w:i/>
          <w:iCs/>
          <w:color w:val="120100"/>
          <w:sz w:val="18"/>
          <w:szCs w:val="18"/>
          <w:lang w:val="en-US"/>
        </w:rPr>
        <w:t>TSG SA#79</w:t>
      </w:r>
      <w:r w:rsidR="00E66ECE" w:rsidRPr="00E66ECE">
        <w:rPr>
          <w:rFonts w:ascii="Arial" w:eastAsia="Times New Roman" w:hAnsi="Arial" w:cs="Arial"/>
          <w:i/>
          <w:iCs/>
          <w:color w:val="120100"/>
          <w:sz w:val="18"/>
          <w:szCs w:val="18"/>
          <w:lang w:val="en-US"/>
        </w:rPr>
        <w:t xml:space="preserve"> discuss</w:t>
      </w:r>
      <w:r>
        <w:rPr>
          <w:rFonts w:ascii="Arial" w:eastAsia="Times New Roman" w:hAnsi="Arial" w:cs="Arial"/>
          <w:i/>
          <w:iCs/>
          <w:color w:val="120100"/>
          <w:sz w:val="18"/>
          <w:szCs w:val="18"/>
          <w:lang w:val="en-US"/>
        </w:rPr>
        <w:t>ed</w:t>
      </w:r>
      <w:r w:rsidR="00E66ECE" w:rsidRPr="00E66ECE">
        <w:rPr>
          <w:rFonts w:ascii="Arial" w:eastAsia="Times New Roman" w:hAnsi="Arial" w:cs="Arial"/>
          <w:i/>
          <w:iCs/>
          <w:color w:val="120100"/>
          <w:sz w:val="18"/>
          <w:szCs w:val="18"/>
          <w:lang w:val="en-US"/>
        </w:rPr>
        <w:t xml:space="preserve"> how new work is initiated in 3GPP in the area of new services, features and functions, to develop a common understanding and also to provide an open door to companies proposing new potential opportunities for 3GPP.</w:t>
      </w:r>
      <w:r>
        <w:rPr>
          <w:rFonts w:ascii="Arial" w:eastAsia="Times New Roman" w:hAnsi="Arial" w:cs="Arial"/>
          <w:i/>
          <w:iCs/>
          <w:color w:val="120100"/>
          <w:sz w:val="18"/>
          <w:szCs w:val="18"/>
          <w:lang w:val="en-US"/>
        </w:rPr>
        <w:t xml:space="preserve"> It is proposed to welcome interested member companies to seek advice and encouragement for new work from TSG SA.</w:t>
      </w:r>
    </w:p>
    <w:p w:rsidR="003E38A2" w:rsidRDefault="003E38A2" w:rsidP="003E38A2">
      <w:pPr>
        <w:pStyle w:val="Heading1"/>
        <w:rPr>
          <w:rFonts w:eastAsia="Times New Roman" w:cs="Arial"/>
          <w:b/>
          <w:bCs/>
          <w:color w:val="000000"/>
          <w:szCs w:val="36"/>
        </w:rPr>
      </w:pPr>
      <w:r>
        <w:rPr>
          <w:rFonts w:eastAsia="Times New Roman" w:cs="Arial"/>
          <w:b/>
          <w:bCs/>
          <w:color w:val="000000"/>
          <w:szCs w:val="36"/>
        </w:rPr>
        <w:t>1         </w:t>
      </w:r>
      <w:r>
        <w:rPr>
          <w:rStyle w:val="apple-converted-space"/>
          <w:rFonts w:eastAsia="Times New Roman" w:cs="Arial"/>
          <w:b/>
          <w:bCs/>
          <w:color w:val="000000"/>
          <w:szCs w:val="36"/>
        </w:rPr>
        <w:t> </w:t>
      </w:r>
      <w:r w:rsidR="00EE319F">
        <w:rPr>
          <w:rFonts w:eastAsia="Times New Roman" w:cs="Arial"/>
          <w:b/>
          <w:bCs/>
          <w:color w:val="000000"/>
          <w:szCs w:val="36"/>
        </w:rPr>
        <w:t>Introduction</w:t>
      </w:r>
    </w:p>
    <w:p w:rsidR="0064519F" w:rsidRPr="00EE319F" w:rsidRDefault="0064519F" w:rsidP="00EE319F">
      <w:pPr>
        <w:rPr>
          <w:rFonts w:ascii="Arial" w:hAnsi="Arial" w:cs="Arial"/>
          <w:sz w:val="18"/>
        </w:rPr>
      </w:pPr>
      <w:r>
        <w:rPr>
          <w:rFonts w:ascii="Arial" w:hAnsi="Arial" w:cs="Arial"/>
          <w:sz w:val="18"/>
        </w:rPr>
        <w:t>In the ‘normal case,’ WIDs are presented, discussed and agreed in working groups</w:t>
      </w:r>
      <w:r w:rsidR="006D4DAA">
        <w:rPr>
          <w:rFonts w:ascii="Arial" w:hAnsi="Arial" w:cs="Arial"/>
          <w:sz w:val="18"/>
        </w:rPr>
        <w:t>.</w:t>
      </w:r>
      <w:r>
        <w:rPr>
          <w:rFonts w:ascii="Arial" w:hAnsi="Arial" w:cs="Arial"/>
          <w:sz w:val="18"/>
        </w:rPr>
        <w:t xml:space="preserve"> They are then presented and approved in TSG. Sometimes, 3GPP encounters an abnormal case.  This paper considers three: controversial WIDs, uncharted territory and planning how to proceed when there are cross-TSG dependencies (especially RAN-SA dependencies.)</w:t>
      </w:r>
    </w:p>
    <w:p w:rsidR="00EE319F" w:rsidRPr="00EE319F" w:rsidRDefault="00EE319F" w:rsidP="00EE319F">
      <w:pPr>
        <w:pStyle w:val="Heading1"/>
        <w:rPr>
          <w:b/>
        </w:rPr>
      </w:pPr>
      <w:r w:rsidRPr="00EE319F">
        <w:rPr>
          <w:b/>
        </w:rPr>
        <w:t>2</w:t>
      </w:r>
      <w:r w:rsidRPr="00EE319F">
        <w:rPr>
          <w:b/>
        </w:rPr>
        <w:tab/>
        <w:t>Clarification</w:t>
      </w:r>
    </w:p>
    <w:p w:rsidR="003E38A2" w:rsidRPr="00452BA9" w:rsidRDefault="00817D41" w:rsidP="003E38A2">
      <w:pPr>
        <w:pStyle w:val="b10"/>
        <w:spacing w:before="0" w:beforeAutospacing="0" w:after="180" w:afterAutospacing="0"/>
        <w:rPr>
          <w:color w:val="000000"/>
          <w:sz w:val="18"/>
          <w:szCs w:val="20"/>
        </w:rPr>
      </w:pPr>
      <w:r w:rsidRPr="00452BA9">
        <w:rPr>
          <w:rFonts w:ascii="Arial" w:hAnsi="Arial" w:cs="Arial"/>
          <w:color w:val="000000"/>
          <w:sz w:val="18"/>
          <w:szCs w:val="20"/>
        </w:rPr>
        <w:t xml:space="preserve">TR 21.900, </w:t>
      </w:r>
      <w:r w:rsidR="003E38A2" w:rsidRPr="00452BA9">
        <w:rPr>
          <w:rFonts w:ascii="Arial" w:hAnsi="Arial" w:cs="Arial"/>
          <w:color w:val="000000"/>
          <w:sz w:val="18"/>
          <w:szCs w:val="20"/>
        </w:rPr>
        <w:t>Clause 6.0.2 clarifies the term ‘Work Item’ (to provide context for the cited text that follows):</w:t>
      </w:r>
    </w:p>
    <w:p w:rsidR="00452BA9" w:rsidRPr="00452BA9" w:rsidRDefault="003E38A2" w:rsidP="00452BA9">
      <w:pPr>
        <w:spacing w:after="0"/>
        <w:rPr>
          <w:b/>
          <w:sz w:val="18"/>
        </w:rPr>
      </w:pPr>
      <w:r w:rsidRPr="00452BA9">
        <w:rPr>
          <w:b/>
          <w:sz w:val="18"/>
        </w:rPr>
        <w:t>Work Item:</w:t>
      </w:r>
    </w:p>
    <w:p w:rsidR="003E38A2" w:rsidRPr="00452BA9" w:rsidRDefault="003E38A2" w:rsidP="00452BA9">
      <w:pPr>
        <w:ind w:left="284" w:firstLine="284"/>
        <w:rPr>
          <w:b/>
          <w:sz w:val="18"/>
        </w:rPr>
      </w:pPr>
      <w:r w:rsidRPr="00452BA9">
        <w:rPr>
          <w:sz w:val="18"/>
        </w:rPr>
        <w:t xml:space="preserve">A generic term used to encompass study item, feature, </w:t>
      </w:r>
      <w:proofErr w:type="gramStart"/>
      <w:r w:rsidRPr="00452BA9">
        <w:rPr>
          <w:sz w:val="18"/>
        </w:rPr>
        <w:t>building</w:t>
      </w:r>
      <w:proofErr w:type="gramEnd"/>
      <w:r w:rsidRPr="00452BA9">
        <w:rPr>
          <w:sz w:val="18"/>
        </w:rPr>
        <w:t xml:space="preserve"> block and work task.</w:t>
      </w:r>
    </w:p>
    <w:p w:rsidR="003E38A2" w:rsidRPr="00452BA9" w:rsidRDefault="003E38A2" w:rsidP="003E38A2">
      <w:pPr>
        <w:pStyle w:val="b10"/>
        <w:spacing w:before="0" w:beforeAutospacing="0" w:after="180" w:afterAutospacing="0"/>
        <w:rPr>
          <w:color w:val="000000"/>
          <w:sz w:val="18"/>
          <w:szCs w:val="20"/>
        </w:rPr>
      </w:pPr>
      <w:r w:rsidRPr="00452BA9">
        <w:rPr>
          <w:rFonts w:ascii="Arial" w:hAnsi="Arial" w:cs="Arial"/>
          <w:color w:val="000000"/>
          <w:sz w:val="18"/>
          <w:szCs w:val="20"/>
        </w:rPr>
        <w:t>Clause 6.1, Creation of a Work Item, reads:</w:t>
      </w:r>
    </w:p>
    <w:p w:rsidR="003E38A2" w:rsidRPr="00452BA9" w:rsidRDefault="003E38A2" w:rsidP="003E38A2">
      <w:pPr>
        <w:pStyle w:val="b10"/>
        <w:spacing w:before="0" w:beforeAutospacing="0" w:after="180" w:afterAutospacing="0"/>
        <w:ind w:left="284"/>
        <w:rPr>
          <w:color w:val="000000"/>
          <w:sz w:val="18"/>
          <w:szCs w:val="20"/>
        </w:rPr>
      </w:pPr>
      <w:r w:rsidRPr="00452BA9">
        <w:rPr>
          <w:color w:val="000000"/>
          <w:sz w:val="18"/>
          <w:szCs w:val="20"/>
        </w:rPr>
        <w:t>When an enhancement of the standard is considered</w:t>
      </w:r>
      <w:r w:rsidRPr="00452BA9">
        <w:rPr>
          <w:rStyle w:val="apple-converted-space"/>
          <w:color w:val="000000"/>
          <w:sz w:val="18"/>
          <w:szCs w:val="20"/>
        </w:rPr>
        <w:t> </w:t>
      </w:r>
      <w:r w:rsidRPr="00452BA9">
        <w:rPr>
          <w:color w:val="000000"/>
          <w:sz w:val="18"/>
          <w:szCs w:val="20"/>
        </w:rPr>
        <w:t>desirable</w:t>
      </w:r>
      <w:r w:rsidRPr="00452BA9">
        <w:rPr>
          <w:color w:val="000000"/>
          <w:sz w:val="18"/>
          <w:szCs w:val="20"/>
          <w:shd w:val="clear" w:color="auto" w:fill="FFFF00"/>
        </w:rPr>
        <w:t xml:space="preserve"> a delegate or delegation may make a proposal by submitting a Work Item Description sheet to the relevant TSG or TSG WG</w:t>
      </w:r>
      <w:r w:rsidRPr="00452BA9">
        <w:rPr>
          <w:color w:val="000000"/>
          <w:sz w:val="18"/>
          <w:szCs w:val="20"/>
        </w:rPr>
        <w:t>:</w:t>
      </w:r>
    </w:p>
    <w:p w:rsidR="003E38A2" w:rsidRPr="00452BA9" w:rsidRDefault="003E38A2" w:rsidP="003E38A2">
      <w:pPr>
        <w:pStyle w:val="b20"/>
        <w:spacing w:before="0" w:beforeAutospacing="0" w:after="180" w:afterAutospacing="0"/>
        <w:ind w:left="851" w:hanging="284"/>
        <w:rPr>
          <w:color w:val="000000"/>
          <w:sz w:val="18"/>
          <w:szCs w:val="20"/>
        </w:rPr>
      </w:pPr>
      <w:r w:rsidRPr="00452BA9">
        <w:rPr>
          <w:color w:val="000000"/>
          <w:sz w:val="18"/>
          <w:szCs w:val="20"/>
        </w:rPr>
        <w:t>-    </w:t>
      </w:r>
      <w:r w:rsidRPr="00452BA9">
        <w:rPr>
          <w:rStyle w:val="apple-converted-space"/>
          <w:color w:val="000000"/>
          <w:sz w:val="18"/>
          <w:szCs w:val="20"/>
        </w:rPr>
        <w:t> </w:t>
      </w:r>
      <w:r w:rsidRPr="00452BA9">
        <w:rPr>
          <w:color w:val="000000"/>
          <w:sz w:val="18"/>
          <w:szCs w:val="20"/>
          <w:shd w:val="clear" w:color="auto" w:fill="FFFF00"/>
        </w:rPr>
        <w:t>For new services, features or functions, the TSG responsible for Services and System Aspects is the relevant TSG. This TSG shall assign prime and, if necessary, secondary responsible TSGs for the corresponding Work Items</w:t>
      </w:r>
      <w:r w:rsidRPr="00452BA9">
        <w:rPr>
          <w:color w:val="000000"/>
          <w:sz w:val="18"/>
          <w:szCs w:val="20"/>
        </w:rPr>
        <w:t>.</w:t>
      </w:r>
    </w:p>
    <w:p w:rsidR="003E38A2" w:rsidRPr="00452BA9" w:rsidRDefault="003E38A2" w:rsidP="003E38A2">
      <w:pPr>
        <w:pStyle w:val="b20"/>
        <w:spacing w:before="0" w:beforeAutospacing="0" w:after="180" w:afterAutospacing="0"/>
        <w:ind w:left="851" w:hanging="284"/>
        <w:rPr>
          <w:color w:val="000000"/>
          <w:sz w:val="18"/>
          <w:szCs w:val="20"/>
        </w:rPr>
      </w:pPr>
      <w:r w:rsidRPr="00452BA9">
        <w:rPr>
          <w:color w:val="000000"/>
          <w:sz w:val="18"/>
          <w:szCs w:val="20"/>
        </w:rPr>
        <w:t>-    </w:t>
      </w:r>
      <w:r w:rsidRPr="00452BA9">
        <w:rPr>
          <w:rStyle w:val="apple-converted-space"/>
          <w:color w:val="000000"/>
          <w:sz w:val="18"/>
          <w:szCs w:val="20"/>
        </w:rPr>
        <w:t> </w:t>
      </w:r>
      <w:r w:rsidRPr="00452BA9">
        <w:rPr>
          <w:color w:val="000000"/>
          <w:sz w:val="18"/>
          <w:szCs w:val="20"/>
          <w:shd w:val="clear" w:color="auto" w:fill="FFFF00"/>
        </w:rPr>
        <w:t>For pure performance enhancements, other TSG WGs may be responsible (the test specifications are normally not seen as independent Work Items)</w:t>
      </w:r>
      <w:r w:rsidRPr="00452BA9">
        <w:rPr>
          <w:color w:val="000000"/>
          <w:sz w:val="18"/>
          <w:szCs w:val="20"/>
        </w:rPr>
        <w:t>.</w:t>
      </w:r>
    </w:p>
    <w:p w:rsidR="003E38A2" w:rsidRPr="00452BA9" w:rsidRDefault="003E38A2" w:rsidP="003E38A2">
      <w:pPr>
        <w:pStyle w:val="b10"/>
        <w:spacing w:before="0" w:beforeAutospacing="0" w:after="180" w:afterAutospacing="0"/>
        <w:ind w:left="568" w:hanging="284"/>
        <w:rPr>
          <w:color w:val="000000"/>
          <w:sz w:val="18"/>
          <w:szCs w:val="20"/>
        </w:rPr>
      </w:pPr>
      <w:r w:rsidRPr="00452BA9">
        <w:rPr>
          <w:color w:val="000000"/>
          <w:sz w:val="18"/>
          <w:szCs w:val="20"/>
        </w:rPr>
        <w:t>The relevant TSG WG</w:t>
      </w:r>
      <w:r w:rsidRPr="00452BA9">
        <w:rPr>
          <w:rStyle w:val="apple-converted-space"/>
          <w:color w:val="000000"/>
          <w:sz w:val="18"/>
          <w:szCs w:val="20"/>
        </w:rPr>
        <w:t> </w:t>
      </w:r>
      <w:r w:rsidRPr="00452BA9">
        <w:rPr>
          <w:color w:val="000000"/>
          <w:sz w:val="18"/>
          <w:szCs w:val="20"/>
          <w:shd w:val="clear" w:color="auto" w:fill="FFFF00"/>
        </w:rPr>
        <w:t>should</w:t>
      </w:r>
      <w:r w:rsidRPr="00452BA9">
        <w:rPr>
          <w:rStyle w:val="apple-converted-space"/>
          <w:color w:val="000000"/>
          <w:sz w:val="18"/>
          <w:szCs w:val="20"/>
        </w:rPr>
        <w:t> </w:t>
      </w:r>
      <w:r w:rsidRPr="00452BA9">
        <w:rPr>
          <w:color w:val="000000"/>
          <w:sz w:val="18"/>
          <w:szCs w:val="20"/>
        </w:rPr>
        <w:t>study and refine the WI sheet before passing it on to the TSG for adoption.</w:t>
      </w:r>
    </w:p>
    <w:p w:rsidR="003E38A2" w:rsidRPr="00452BA9" w:rsidRDefault="003E38A2" w:rsidP="003E38A2">
      <w:pPr>
        <w:pStyle w:val="b10"/>
        <w:spacing w:before="0" w:beforeAutospacing="0" w:after="180" w:afterAutospacing="0"/>
        <w:ind w:left="568" w:hanging="284"/>
        <w:rPr>
          <w:color w:val="000000"/>
          <w:sz w:val="18"/>
          <w:szCs w:val="20"/>
        </w:rPr>
      </w:pPr>
      <w:r w:rsidRPr="00452BA9">
        <w:rPr>
          <w:color w:val="000000"/>
          <w:sz w:val="18"/>
          <w:szCs w:val="20"/>
        </w:rPr>
        <w:t>No substantial work shall commence in a TSG WG prior to a decision of the responsible TSG.</w:t>
      </w:r>
    </w:p>
    <w:p w:rsidR="003E38A2" w:rsidRPr="00817D41" w:rsidRDefault="003E38A2" w:rsidP="003E38A2">
      <w:pPr>
        <w:pStyle w:val="b10"/>
        <w:spacing w:before="0" w:beforeAutospacing="0" w:after="180" w:afterAutospacing="0"/>
        <w:rPr>
          <w:color w:val="000000"/>
          <w:sz w:val="18"/>
          <w:szCs w:val="20"/>
        </w:rPr>
      </w:pPr>
      <w:r w:rsidRPr="00817D41">
        <w:rPr>
          <w:rFonts w:ascii="Arial" w:hAnsi="Arial" w:cs="Arial"/>
          <w:color w:val="000000"/>
          <w:sz w:val="18"/>
          <w:szCs w:val="20"/>
        </w:rPr>
        <w:t xml:space="preserve">Submission to WIDs for new services, features and functions directly to TSG SA is not only allowed, it </w:t>
      </w:r>
      <w:r w:rsidR="00817D41" w:rsidRPr="00817D41">
        <w:rPr>
          <w:rFonts w:ascii="Arial" w:hAnsi="Arial" w:cs="Arial"/>
          <w:color w:val="000000"/>
          <w:sz w:val="18"/>
          <w:szCs w:val="20"/>
        </w:rPr>
        <w:t>is sometimes necessary</w:t>
      </w:r>
      <w:r w:rsidRPr="00817D41">
        <w:rPr>
          <w:rFonts w:ascii="Arial" w:hAnsi="Arial" w:cs="Arial"/>
          <w:color w:val="000000"/>
          <w:sz w:val="18"/>
          <w:szCs w:val="20"/>
        </w:rPr>
        <w:t xml:space="preserve">. </w:t>
      </w:r>
      <w:r w:rsidR="00452BA9">
        <w:rPr>
          <w:rFonts w:ascii="Arial" w:hAnsi="Arial" w:cs="Arial"/>
          <w:color w:val="000000"/>
          <w:sz w:val="18"/>
          <w:szCs w:val="20"/>
        </w:rPr>
        <w:t xml:space="preserve">21.900 </w:t>
      </w:r>
      <w:proofErr w:type="gramStart"/>
      <w:r w:rsidR="00452BA9">
        <w:rPr>
          <w:rFonts w:ascii="Arial" w:hAnsi="Arial" w:cs="Arial"/>
          <w:color w:val="000000"/>
          <w:sz w:val="18"/>
          <w:szCs w:val="20"/>
        </w:rPr>
        <w:t>recommends</w:t>
      </w:r>
      <w:proofErr w:type="gramEnd"/>
      <w:r w:rsidR="00452BA9">
        <w:rPr>
          <w:rFonts w:ascii="Arial" w:hAnsi="Arial" w:cs="Arial"/>
          <w:color w:val="000000"/>
          <w:sz w:val="18"/>
          <w:szCs w:val="20"/>
        </w:rPr>
        <w:t xml:space="preserve"> that </w:t>
      </w:r>
      <w:r w:rsidRPr="00817D41">
        <w:rPr>
          <w:rFonts w:ascii="Arial" w:hAnsi="Arial" w:cs="Arial"/>
          <w:color w:val="000000"/>
          <w:sz w:val="18"/>
          <w:szCs w:val="20"/>
        </w:rPr>
        <w:t xml:space="preserve">WGs is to study and refine proposals before TSG </w:t>
      </w:r>
      <w:r w:rsidR="00452BA9">
        <w:rPr>
          <w:rFonts w:ascii="Arial" w:hAnsi="Arial" w:cs="Arial"/>
          <w:color w:val="000000"/>
          <w:sz w:val="18"/>
          <w:szCs w:val="20"/>
        </w:rPr>
        <w:t>approves the</w:t>
      </w:r>
      <w:r w:rsidRPr="00817D41">
        <w:rPr>
          <w:rFonts w:ascii="Arial" w:hAnsi="Arial" w:cs="Arial"/>
          <w:color w:val="000000"/>
          <w:sz w:val="18"/>
          <w:szCs w:val="20"/>
        </w:rPr>
        <w:t xml:space="preserve"> </w:t>
      </w:r>
      <w:r w:rsidR="00452BA9">
        <w:rPr>
          <w:rFonts w:ascii="Arial" w:hAnsi="Arial" w:cs="Arial"/>
          <w:color w:val="000000"/>
          <w:sz w:val="18"/>
          <w:szCs w:val="20"/>
        </w:rPr>
        <w:t>WID. WG agreement is</w:t>
      </w:r>
      <w:r w:rsidR="0064519F">
        <w:rPr>
          <w:rFonts w:ascii="Arial" w:hAnsi="Arial" w:cs="Arial"/>
          <w:color w:val="000000"/>
          <w:sz w:val="18"/>
          <w:szCs w:val="20"/>
        </w:rPr>
        <w:t xml:space="preserve"> not</w:t>
      </w:r>
      <w:r w:rsidRPr="00817D41">
        <w:rPr>
          <w:rFonts w:ascii="Arial" w:hAnsi="Arial" w:cs="Arial"/>
          <w:color w:val="000000"/>
          <w:sz w:val="18"/>
          <w:szCs w:val="20"/>
        </w:rPr>
        <w:t xml:space="preserve"> a precondition for TSG SA to discuss or approve WIDs.</w:t>
      </w:r>
      <w:r w:rsidR="00817D41" w:rsidRPr="00817D41">
        <w:rPr>
          <w:rFonts w:ascii="Arial" w:hAnsi="Arial" w:cs="Arial"/>
          <w:color w:val="000000"/>
          <w:sz w:val="18"/>
          <w:szCs w:val="20"/>
        </w:rPr>
        <w:t xml:space="preserve"> In some cases, </w:t>
      </w:r>
      <w:r w:rsidR="00452BA9">
        <w:rPr>
          <w:rFonts w:ascii="Arial" w:hAnsi="Arial" w:cs="Arial"/>
          <w:color w:val="000000"/>
          <w:sz w:val="18"/>
          <w:szCs w:val="20"/>
        </w:rPr>
        <w:t>discussed below, it is advantageous to bring WIDs directly to SA for consideration even if they are not agreed in WGs beforehand</w:t>
      </w:r>
      <w:r w:rsidR="00817D41" w:rsidRPr="00817D41">
        <w:rPr>
          <w:rFonts w:ascii="Arial" w:hAnsi="Arial" w:cs="Arial"/>
          <w:color w:val="000000"/>
          <w:sz w:val="18"/>
          <w:szCs w:val="20"/>
        </w:rPr>
        <w:t>.</w:t>
      </w:r>
    </w:p>
    <w:p w:rsidR="001E27AB" w:rsidRDefault="001E27AB" w:rsidP="00633FD4">
      <w:pPr>
        <w:pStyle w:val="Heading1"/>
        <w:rPr>
          <w:rFonts w:eastAsia="Times New Roman" w:cs="Arial"/>
          <w:b/>
          <w:bCs/>
          <w:color w:val="000000"/>
          <w:szCs w:val="36"/>
        </w:rPr>
      </w:pPr>
      <w:r>
        <w:rPr>
          <w:rFonts w:eastAsia="Times New Roman" w:cs="Arial"/>
          <w:b/>
          <w:bCs/>
          <w:color w:val="000000"/>
          <w:szCs w:val="36"/>
        </w:rPr>
        <w:t>3</w:t>
      </w:r>
      <w:r>
        <w:rPr>
          <w:rFonts w:eastAsia="Times New Roman" w:cs="Arial"/>
          <w:b/>
          <w:bCs/>
          <w:color w:val="000000"/>
          <w:szCs w:val="36"/>
        </w:rPr>
        <w:tab/>
        <w:t xml:space="preserve">Challenges </w:t>
      </w:r>
    </w:p>
    <w:p w:rsidR="00633FD4" w:rsidRDefault="001E27AB" w:rsidP="0006455C">
      <w:pPr>
        <w:pStyle w:val="Heading2"/>
      </w:pPr>
      <w:r>
        <w:t>3.1</w:t>
      </w:r>
      <w:r w:rsidR="00EE54C7">
        <w:tab/>
      </w:r>
      <w:r w:rsidR="00633FD4">
        <w:t>Controversial WIDs</w:t>
      </w:r>
    </w:p>
    <w:p w:rsidR="00E704F5" w:rsidRDefault="00633FD4" w:rsidP="00633FD4">
      <w:pPr>
        <w:rPr>
          <w:rFonts w:ascii="Arial" w:hAnsi="Arial" w:cs="Arial"/>
          <w:color w:val="120100"/>
          <w:sz w:val="18"/>
          <w:szCs w:val="18"/>
        </w:rPr>
      </w:pPr>
      <w:r w:rsidRPr="0006455C">
        <w:rPr>
          <w:rFonts w:ascii="Arial" w:hAnsi="Arial" w:cs="Arial"/>
          <w:color w:val="120100"/>
          <w:sz w:val="18"/>
          <w:szCs w:val="18"/>
        </w:rPr>
        <w:t xml:space="preserve">At times new work proposed to be addressed </w:t>
      </w:r>
      <w:r w:rsidR="001E27AB">
        <w:rPr>
          <w:rFonts w:ascii="Arial" w:hAnsi="Arial" w:cs="Arial"/>
          <w:color w:val="120100"/>
          <w:sz w:val="18"/>
          <w:szCs w:val="18"/>
        </w:rPr>
        <w:t>by</w:t>
      </w:r>
      <w:r w:rsidRPr="0006455C">
        <w:rPr>
          <w:rFonts w:ascii="Arial" w:hAnsi="Arial" w:cs="Arial"/>
          <w:color w:val="120100"/>
          <w:sz w:val="18"/>
          <w:szCs w:val="18"/>
        </w:rPr>
        <w:t xml:space="preserve"> 3GPP may be controversial, </w:t>
      </w:r>
      <w:r w:rsidR="001E27AB">
        <w:rPr>
          <w:rFonts w:ascii="Arial" w:hAnsi="Arial" w:cs="Arial"/>
          <w:color w:val="120100"/>
          <w:sz w:val="18"/>
          <w:szCs w:val="18"/>
        </w:rPr>
        <w:t>especially</w:t>
      </w:r>
      <w:r w:rsidRPr="0006455C">
        <w:rPr>
          <w:rFonts w:ascii="Arial" w:hAnsi="Arial" w:cs="Arial"/>
          <w:color w:val="120100"/>
          <w:sz w:val="18"/>
          <w:szCs w:val="18"/>
        </w:rPr>
        <w:t xml:space="preserve"> if aiming </w:t>
      </w:r>
      <w:r w:rsidR="001E27AB">
        <w:rPr>
          <w:rFonts w:ascii="Arial" w:hAnsi="Arial" w:cs="Arial"/>
          <w:color w:val="120100"/>
          <w:sz w:val="18"/>
          <w:szCs w:val="18"/>
        </w:rPr>
        <w:t>at</w:t>
      </w:r>
      <w:r w:rsidRPr="0006455C">
        <w:rPr>
          <w:rFonts w:ascii="Arial" w:hAnsi="Arial" w:cs="Arial"/>
          <w:color w:val="120100"/>
          <w:sz w:val="18"/>
          <w:szCs w:val="18"/>
        </w:rPr>
        <w:t xml:space="preserve"> address</w:t>
      </w:r>
      <w:r w:rsidR="001E27AB">
        <w:rPr>
          <w:rFonts w:ascii="Arial" w:hAnsi="Arial" w:cs="Arial"/>
          <w:color w:val="120100"/>
          <w:sz w:val="18"/>
          <w:szCs w:val="18"/>
        </w:rPr>
        <w:t>ing</w:t>
      </w:r>
      <w:r w:rsidRPr="0006455C">
        <w:rPr>
          <w:rFonts w:ascii="Arial" w:hAnsi="Arial" w:cs="Arial"/>
          <w:color w:val="120100"/>
          <w:sz w:val="18"/>
          <w:szCs w:val="18"/>
        </w:rPr>
        <w:t xml:space="preserve"> new business areas or new industries. </w:t>
      </w:r>
      <w:r w:rsidR="001E27AB">
        <w:rPr>
          <w:rFonts w:ascii="Arial" w:hAnsi="Arial" w:cs="Arial"/>
          <w:color w:val="120100"/>
          <w:sz w:val="18"/>
          <w:szCs w:val="18"/>
        </w:rPr>
        <w:t xml:space="preserve">Such proposals </w:t>
      </w:r>
      <w:r w:rsidRPr="0006455C">
        <w:rPr>
          <w:rFonts w:ascii="Arial" w:hAnsi="Arial" w:cs="Arial"/>
          <w:color w:val="120100"/>
          <w:sz w:val="18"/>
          <w:szCs w:val="18"/>
        </w:rPr>
        <w:t xml:space="preserve">typically result in the related work items to be discussed repetitively in consecutive working group meetings without achieving </w:t>
      </w:r>
      <w:r w:rsidR="001E27AB">
        <w:rPr>
          <w:rFonts w:ascii="Arial" w:hAnsi="Arial" w:cs="Arial"/>
          <w:color w:val="120100"/>
          <w:sz w:val="18"/>
          <w:szCs w:val="18"/>
        </w:rPr>
        <w:t xml:space="preserve">any </w:t>
      </w:r>
      <w:r w:rsidRPr="0006455C">
        <w:rPr>
          <w:rFonts w:ascii="Arial" w:hAnsi="Arial" w:cs="Arial"/>
          <w:color w:val="120100"/>
          <w:sz w:val="18"/>
          <w:szCs w:val="18"/>
        </w:rPr>
        <w:t>consensus</w:t>
      </w:r>
      <w:r w:rsidR="001E27AB">
        <w:rPr>
          <w:rFonts w:ascii="Arial" w:hAnsi="Arial" w:cs="Arial"/>
          <w:color w:val="120100"/>
          <w:sz w:val="18"/>
          <w:szCs w:val="18"/>
        </w:rPr>
        <w:t xml:space="preserve"> or only reaching consensus after many rounds of discussions</w:t>
      </w:r>
      <w:r w:rsidRPr="0006455C">
        <w:rPr>
          <w:rFonts w:ascii="Arial" w:hAnsi="Arial" w:cs="Arial"/>
          <w:color w:val="120100"/>
          <w:sz w:val="18"/>
          <w:szCs w:val="18"/>
        </w:rPr>
        <w:t xml:space="preserve">. </w:t>
      </w:r>
    </w:p>
    <w:p w:rsidR="001E27AB" w:rsidRDefault="00E704F5" w:rsidP="00633FD4">
      <w:pPr>
        <w:rPr>
          <w:rFonts w:ascii="Arial" w:hAnsi="Arial" w:cs="Arial"/>
          <w:color w:val="120100"/>
          <w:sz w:val="18"/>
          <w:szCs w:val="18"/>
        </w:rPr>
      </w:pPr>
      <w:r>
        <w:rPr>
          <w:rFonts w:ascii="Arial" w:hAnsi="Arial" w:cs="Arial"/>
          <w:color w:val="120100"/>
          <w:sz w:val="18"/>
          <w:szCs w:val="18"/>
        </w:rPr>
        <w:lastRenderedPageBreak/>
        <w:t>Even if eventually agreed, e.g. for Stage 1, t</w:t>
      </w:r>
      <w:r w:rsidR="001E27AB">
        <w:rPr>
          <w:rFonts w:ascii="Arial" w:hAnsi="Arial" w:cs="Arial"/>
          <w:color w:val="120100"/>
          <w:sz w:val="18"/>
          <w:szCs w:val="18"/>
        </w:rPr>
        <w:t xml:space="preserve">his problem is exacerbated by the fact that similar discussions may </w:t>
      </w:r>
      <w:r>
        <w:rPr>
          <w:rFonts w:ascii="Arial" w:hAnsi="Arial" w:cs="Arial"/>
          <w:color w:val="120100"/>
          <w:sz w:val="18"/>
          <w:szCs w:val="18"/>
        </w:rPr>
        <w:t xml:space="preserve">then </w:t>
      </w:r>
      <w:r w:rsidR="001E27AB">
        <w:rPr>
          <w:rFonts w:ascii="Arial" w:hAnsi="Arial" w:cs="Arial"/>
          <w:color w:val="120100"/>
          <w:sz w:val="18"/>
          <w:szCs w:val="18"/>
        </w:rPr>
        <w:t>take place again in the next stage</w:t>
      </w:r>
      <w:r>
        <w:rPr>
          <w:rFonts w:ascii="Arial" w:hAnsi="Arial" w:cs="Arial"/>
          <w:color w:val="120100"/>
          <w:sz w:val="18"/>
          <w:szCs w:val="18"/>
        </w:rPr>
        <w:t xml:space="preserve"> (e.g. Stage 2)</w:t>
      </w:r>
      <w:r w:rsidR="00BE06B1">
        <w:rPr>
          <w:rFonts w:ascii="Arial" w:hAnsi="Arial" w:cs="Arial"/>
          <w:color w:val="120100"/>
          <w:sz w:val="18"/>
          <w:szCs w:val="18"/>
        </w:rPr>
        <w:t xml:space="preserve"> leading to additional delays.</w:t>
      </w:r>
    </w:p>
    <w:p w:rsidR="00CA259E" w:rsidRDefault="001E27AB" w:rsidP="00633FD4">
      <w:pPr>
        <w:rPr>
          <w:rFonts w:ascii="Arial" w:hAnsi="Arial" w:cs="Arial"/>
          <w:color w:val="120100"/>
          <w:sz w:val="18"/>
          <w:szCs w:val="18"/>
        </w:rPr>
      </w:pPr>
      <w:r>
        <w:rPr>
          <w:rFonts w:ascii="Arial" w:hAnsi="Arial" w:cs="Arial"/>
          <w:color w:val="120100"/>
          <w:sz w:val="18"/>
          <w:szCs w:val="18"/>
        </w:rPr>
        <w:t xml:space="preserve">In conclusion, the current </w:t>
      </w:r>
      <w:r w:rsidR="009A41C2">
        <w:rPr>
          <w:rFonts w:ascii="Arial" w:hAnsi="Arial" w:cs="Arial"/>
          <w:color w:val="120100"/>
          <w:sz w:val="18"/>
          <w:szCs w:val="18"/>
        </w:rPr>
        <w:t>approach to</w:t>
      </w:r>
      <w:r w:rsidR="00E704F5">
        <w:rPr>
          <w:rFonts w:ascii="Arial" w:hAnsi="Arial" w:cs="Arial"/>
          <w:color w:val="120100"/>
          <w:sz w:val="18"/>
          <w:szCs w:val="18"/>
        </w:rPr>
        <w:t xml:space="preserve"> </w:t>
      </w:r>
      <w:r>
        <w:rPr>
          <w:rFonts w:ascii="Arial" w:hAnsi="Arial" w:cs="Arial"/>
          <w:color w:val="120100"/>
          <w:sz w:val="18"/>
          <w:szCs w:val="18"/>
        </w:rPr>
        <w:t>handling controversial work item proposal</w:t>
      </w:r>
      <w:r w:rsidR="009A41C2">
        <w:rPr>
          <w:rFonts w:ascii="Arial" w:hAnsi="Arial" w:cs="Arial"/>
          <w:color w:val="120100"/>
          <w:sz w:val="18"/>
          <w:szCs w:val="18"/>
        </w:rPr>
        <w:t>s</w:t>
      </w:r>
      <w:r>
        <w:rPr>
          <w:rFonts w:ascii="Arial" w:hAnsi="Arial" w:cs="Arial"/>
          <w:color w:val="120100"/>
          <w:sz w:val="18"/>
          <w:szCs w:val="18"/>
        </w:rPr>
        <w:t xml:space="preserve"> is not</w:t>
      </w:r>
      <w:r w:rsidR="00CD6128">
        <w:rPr>
          <w:rFonts w:ascii="Arial" w:hAnsi="Arial" w:cs="Arial"/>
          <w:color w:val="120100"/>
          <w:sz w:val="18"/>
          <w:szCs w:val="18"/>
        </w:rPr>
        <w:t xml:space="preserve"> always</w:t>
      </w:r>
      <w:r>
        <w:rPr>
          <w:rFonts w:ascii="Arial" w:hAnsi="Arial" w:cs="Arial"/>
          <w:color w:val="120100"/>
          <w:sz w:val="18"/>
          <w:szCs w:val="18"/>
        </w:rPr>
        <w:t xml:space="preserve"> efficient</w:t>
      </w:r>
      <w:r w:rsidR="00E704F5">
        <w:rPr>
          <w:rFonts w:ascii="Arial" w:hAnsi="Arial" w:cs="Arial"/>
          <w:color w:val="120100"/>
          <w:sz w:val="18"/>
          <w:szCs w:val="18"/>
        </w:rPr>
        <w:t>.</w:t>
      </w:r>
      <w:r w:rsidR="0064519F">
        <w:rPr>
          <w:rFonts w:ascii="Arial" w:hAnsi="Arial" w:cs="Arial"/>
          <w:color w:val="120100"/>
          <w:sz w:val="18"/>
          <w:szCs w:val="18"/>
        </w:rPr>
        <w:t xml:space="preserve"> </w:t>
      </w:r>
    </w:p>
    <w:p w:rsidR="001E27AB" w:rsidRDefault="0064519F" w:rsidP="00CA259E">
      <w:pPr>
        <w:rPr>
          <w:rFonts w:ascii="Arial" w:hAnsi="Arial" w:cs="Arial"/>
          <w:color w:val="120100"/>
          <w:sz w:val="18"/>
          <w:szCs w:val="18"/>
        </w:rPr>
      </w:pPr>
      <w:r>
        <w:rPr>
          <w:rFonts w:ascii="Arial" w:hAnsi="Arial" w:cs="Arial"/>
          <w:color w:val="120100"/>
          <w:sz w:val="18"/>
          <w:szCs w:val="18"/>
        </w:rPr>
        <w:t xml:space="preserve">The </w:t>
      </w:r>
      <w:r w:rsidR="00CA259E">
        <w:rPr>
          <w:rFonts w:ascii="Arial" w:hAnsi="Arial" w:cs="Arial"/>
          <w:color w:val="120100"/>
          <w:sz w:val="18"/>
          <w:szCs w:val="18"/>
        </w:rPr>
        <w:t>purpose</w:t>
      </w:r>
      <w:r>
        <w:rPr>
          <w:rFonts w:ascii="Arial" w:hAnsi="Arial" w:cs="Arial"/>
          <w:color w:val="120100"/>
          <w:sz w:val="18"/>
          <w:szCs w:val="18"/>
        </w:rPr>
        <w:t xml:space="preserve"> </w:t>
      </w:r>
      <w:r w:rsidR="00CA259E">
        <w:rPr>
          <w:rFonts w:ascii="Arial" w:hAnsi="Arial" w:cs="Arial"/>
          <w:color w:val="120100"/>
          <w:sz w:val="18"/>
          <w:szCs w:val="18"/>
        </w:rPr>
        <w:t>for</w:t>
      </w:r>
      <w:r>
        <w:rPr>
          <w:rFonts w:ascii="Arial" w:hAnsi="Arial" w:cs="Arial"/>
          <w:color w:val="120100"/>
          <w:sz w:val="18"/>
          <w:szCs w:val="18"/>
        </w:rPr>
        <w:t xml:space="preserve"> bringing controversial WIDs to SA is to seek a decision.</w:t>
      </w:r>
    </w:p>
    <w:p w:rsidR="00CD6128" w:rsidRDefault="00CD6128" w:rsidP="0006455C">
      <w:pPr>
        <w:pStyle w:val="Heading2"/>
      </w:pPr>
      <w:r>
        <w:t>3.2</w:t>
      </w:r>
      <w:r>
        <w:tab/>
        <w:t>Uncharted Territory</w:t>
      </w:r>
    </w:p>
    <w:p w:rsidR="00CA259E" w:rsidRDefault="00CD6128" w:rsidP="00EE54C7">
      <w:pPr>
        <w:rPr>
          <w:rFonts w:ascii="Arial" w:hAnsi="Arial" w:cs="Arial"/>
          <w:sz w:val="18"/>
        </w:rPr>
      </w:pPr>
      <w:r w:rsidRPr="00EE54C7">
        <w:rPr>
          <w:rFonts w:ascii="Arial" w:hAnsi="Arial" w:cs="Arial"/>
          <w:sz w:val="18"/>
        </w:rPr>
        <w:t xml:space="preserve">New work coming to 3GPP may not clearly match the existing working groups and their activities. It is </w:t>
      </w:r>
      <w:r w:rsidR="00A05063">
        <w:rPr>
          <w:rFonts w:ascii="Arial" w:hAnsi="Arial" w:cs="Arial"/>
          <w:sz w:val="18"/>
        </w:rPr>
        <w:t xml:space="preserve">sometimes </w:t>
      </w:r>
      <w:r w:rsidRPr="00EE54C7">
        <w:rPr>
          <w:rFonts w:ascii="Arial" w:hAnsi="Arial" w:cs="Arial"/>
          <w:sz w:val="18"/>
        </w:rPr>
        <w:t>not clear where and how to start work.</w:t>
      </w:r>
      <w:r w:rsidR="00CA259E">
        <w:rPr>
          <w:rFonts w:ascii="Arial" w:hAnsi="Arial" w:cs="Arial"/>
          <w:sz w:val="18"/>
        </w:rPr>
        <w:t xml:space="preserve"> </w:t>
      </w:r>
      <w:r w:rsidR="00983592">
        <w:rPr>
          <w:rFonts w:ascii="Arial" w:hAnsi="Arial" w:cs="Arial"/>
          <w:sz w:val="18"/>
        </w:rPr>
        <w:t>It is acknowledged that much new activity begins in TSG SA WG1.</w:t>
      </w:r>
    </w:p>
    <w:p w:rsidR="00CA259E" w:rsidRPr="00CA259E" w:rsidRDefault="00CA259E" w:rsidP="00EE54C7">
      <w:pPr>
        <w:rPr>
          <w:rFonts w:ascii="Arial" w:hAnsi="Arial" w:cs="Arial"/>
          <w:sz w:val="18"/>
        </w:rPr>
      </w:pPr>
      <w:r>
        <w:rPr>
          <w:rFonts w:ascii="Arial" w:hAnsi="Arial" w:cs="Arial"/>
          <w:sz w:val="18"/>
        </w:rPr>
        <w:t>While it is possible to bring a WID to SA for work in new areas for consideration, the normal handling of WIDs is to present them first in the appropriate WG and gain agreement, then to bring the agreed WID to SA. (See TR 21.900 “</w:t>
      </w:r>
      <w:r w:rsidRPr="00CA259E">
        <w:rPr>
          <w:rFonts w:ascii="Arial" w:hAnsi="Arial" w:cs="Arial"/>
          <w:sz w:val="18"/>
        </w:rPr>
        <w:t xml:space="preserve">The relevant TSG WG </w:t>
      </w:r>
      <w:r w:rsidRPr="00CA259E">
        <w:rPr>
          <w:rFonts w:ascii="Arial" w:hAnsi="Arial" w:cs="Arial"/>
          <w:sz w:val="18"/>
          <w:highlight w:val="yellow"/>
        </w:rPr>
        <w:t>should</w:t>
      </w:r>
      <w:r w:rsidRPr="00CA259E">
        <w:rPr>
          <w:rFonts w:ascii="Arial" w:hAnsi="Arial" w:cs="Arial"/>
          <w:sz w:val="18"/>
        </w:rPr>
        <w:t xml:space="preserve"> study and refine the WI sheet before passing it on to the TSG for adoption.</w:t>
      </w:r>
      <w:r>
        <w:rPr>
          <w:rFonts w:ascii="Arial" w:hAnsi="Arial" w:cs="Arial"/>
          <w:sz w:val="18"/>
        </w:rPr>
        <w:t>”)</w:t>
      </w:r>
    </w:p>
    <w:p w:rsidR="00CD6128" w:rsidRDefault="00CA259E" w:rsidP="00EE54C7">
      <w:pPr>
        <w:rPr>
          <w:rFonts w:ascii="Arial" w:hAnsi="Arial" w:cs="Arial"/>
          <w:sz w:val="18"/>
        </w:rPr>
      </w:pPr>
      <w:r>
        <w:rPr>
          <w:rFonts w:ascii="Arial" w:hAnsi="Arial" w:cs="Arial"/>
          <w:sz w:val="18"/>
        </w:rPr>
        <w:t xml:space="preserve">Bringing presentations </w:t>
      </w:r>
      <w:r w:rsidR="00B921E1">
        <w:rPr>
          <w:rFonts w:ascii="Arial" w:hAnsi="Arial" w:cs="Arial"/>
          <w:sz w:val="18"/>
        </w:rPr>
        <w:t>to introduce</w:t>
      </w:r>
      <w:r>
        <w:rPr>
          <w:rFonts w:ascii="Arial" w:hAnsi="Arial" w:cs="Arial"/>
          <w:sz w:val="18"/>
        </w:rPr>
        <w:t xml:space="preserve"> new work areas to SA will (a) improve the general understanding of 3GPP member companies and organizations regarding the new area of work, (b) result in guidance from SA regarding which WG (if any) to initiate the work in, (c) potentially receive encouragement and find new supporters.</w:t>
      </w:r>
    </w:p>
    <w:p w:rsidR="00102B7F" w:rsidRDefault="001E27AB" w:rsidP="0006455C">
      <w:pPr>
        <w:pStyle w:val="Heading2"/>
        <w:rPr>
          <w:lang w:val="en-US"/>
        </w:rPr>
      </w:pPr>
      <w:r>
        <w:t>3</w:t>
      </w:r>
      <w:r w:rsidR="00E704F5">
        <w:t>.</w:t>
      </w:r>
      <w:r w:rsidR="00CD6128">
        <w:t>3</w:t>
      </w:r>
      <w:r w:rsidR="00CD6128">
        <w:tab/>
      </w:r>
      <w:r>
        <w:t>RAN-SA dependencies</w:t>
      </w:r>
    </w:p>
    <w:p w:rsidR="00102B7F" w:rsidRPr="00817D41" w:rsidRDefault="0064519F" w:rsidP="0064519F">
      <w:pPr>
        <w:rPr>
          <w:rFonts w:ascii="Verdana" w:hAnsi="Verdana"/>
          <w:color w:val="120100"/>
          <w:sz w:val="18"/>
          <w:szCs w:val="18"/>
        </w:rPr>
      </w:pPr>
      <w:r>
        <w:rPr>
          <w:rFonts w:ascii="Arial" w:hAnsi="Arial" w:cs="Arial"/>
          <w:color w:val="120100"/>
          <w:sz w:val="18"/>
          <w:szCs w:val="18"/>
        </w:rPr>
        <w:t>Sometimes it is not clear whether it is appropriate to start a study or begin work in SA working groups due to a possible dependency on RAN activity. In some cases, this is clear to everyone. In other cases, finding a way forward can be discussed in SA and RAN independently and jointly.</w:t>
      </w:r>
    </w:p>
    <w:p w:rsidR="00102B7F" w:rsidRDefault="00BE06B1" w:rsidP="00102B7F">
      <w:pPr>
        <w:pStyle w:val="Heading1"/>
        <w:rPr>
          <w:rFonts w:eastAsia="Times New Roman" w:cs="Arial"/>
          <w:b/>
          <w:bCs/>
          <w:color w:val="000000"/>
          <w:szCs w:val="36"/>
        </w:rPr>
      </w:pPr>
      <w:r>
        <w:rPr>
          <w:rFonts w:eastAsia="Times New Roman" w:cs="Arial"/>
          <w:b/>
          <w:bCs/>
          <w:color w:val="000000"/>
          <w:szCs w:val="36"/>
        </w:rPr>
        <w:t>4         </w:t>
      </w:r>
      <w:r>
        <w:rPr>
          <w:rStyle w:val="apple-converted-space"/>
          <w:rFonts w:eastAsia="Times New Roman" w:cs="Arial"/>
          <w:b/>
          <w:bCs/>
          <w:color w:val="000000"/>
          <w:szCs w:val="36"/>
        </w:rPr>
        <w:t> </w:t>
      </w:r>
      <w:r w:rsidR="00102B7F">
        <w:rPr>
          <w:rFonts w:eastAsia="Times New Roman" w:cs="Arial"/>
          <w:b/>
          <w:bCs/>
          <w:color w:val="000000"/>
          <w:szCs w:val="36"/>
        </w:rPr>
        <w:t>Proposal</w:t>
      </w:r>
      <w:r w:rsidR="00FC2029">
        <w:rPr>
          <w:rFonts w:eastAsia="Times New Roman" w:cs="Arial"/>
          <w:b/>
          <w:bCs/>
          <w:color w:val="000000"/>
          <w:szCs w:val="36"/>
        </w:rPr>
        <w:t>s</w:t>
      </w:r>
    </w:p>
    <w:p w:rsidR="00077480" w:rsidRDefault="00077480" w:rsidP="0006455C">
      <w:pPr>
        <w:pStyle w:val="Heading2"/>
      </w:pPr>
      <w:r>
        <w:t>4.1</w:t>
      </w:r>
      <w:r>
        <w:tab/>
        <w:t xml:space="preserve">Escalating controversial WIDs </w:t>
      </w:r>
      <w:r w:rsidR="005B7769">
        <w:t>to</w:t>
      </w:r>
      <w:r>
        <w:t xml:space="preserve"> TSG SA</w:t>
      </w:r>
    </w:p>
    <w:p w:rsidR="008E757A" w:rsidRDefault="00BE06B1" w:rsidP="00077480">
      <w:pPr>
        <w:rPr>
          <w:rFonts w:ascii="Arial" w:hAnsi="Arial" w:cs="Arial"/>
          <w:color w:val="120100"/>
          <w:sz w:val="18"/>
          <w:szCs w:val="18"/>
        </w:rPr>
      </w:pPr>
      <w:r>
        <w:rPr>
          <w:rFonts w:ascii="Arial" w:hAnsi="Arial" w:cs="Arial"/>
          <w:color w:val="120100"/>
          <w:sz w:val="18"/>
          <w:szCs w:val="18"/>
        </w:rPr>
        <w:t xml:space="preserve">To address the </w:t>
      </w:r>
      <w:proofErr w:type="spellStart"/>
      <w:r>
        <w:rPr>
          <w:rFonts w:ascii="Arial" w:hAnsi="Arial" w:cs="Arial"/>
          <w:color w:val="120100"/>
          <w:sz w:val="18"/>
          <w:szCs w:val="18"/>
        </w:rPr>
        <w:t>inefficiences</w:t>
      </w:r>
      <w:proofErr w:type="spellEnd"/>
      <w:r>
        <w:rPr>
          <w:rFonts w:ascii="Arial" w:hAnsi="Arial" w:cs="Arial"/>
          <w:color w:val="120100"/>
          <w:sz w:val="18"/>
          <w:szCs w:val="18"/>
        </w:rPr>
        <w:t xml:space="preserve"> identified </w:t>
      </w:r>
      <w:r w:rsidR="00077480">
        <w:rPr>
          <w:rFonts w:ascii="Arial" w:hAnsi="Arial" w:cs="Arial"/>
          <w:color w:val="120100"/>
          <w:sz w:val="18"/>
          <w:szCs w:val="18"/>
        </w:rPr>
        <w:t>for</w:t>
      </w:r>
      <w:r>
        <w:rPr>
          <w:rFonts w:ascii="Arial" w:hAnsi="Arial" w:cs="Arial"/>
          <w:color w:val="120100"/>
          <w:sz w:val="18"/>
          <w:szCs w:val="18"/>
        </w:rPr>
        <w:t xml:space="preserve"> the current process for handling controversial WIDs</w:t>
      </w:r>
      <w:r w:rsidR="00077480">
        <w:rPr>
          <w:rFonts w:ascii="Arial" w:hAnsi="Arial" w:cs="Arial"/>
          <w:color w:val="120100"/>
          <w:sz w:val="18"/>
          <w:szCs w:val="18"/>
        </w:rPr>
        <w:t xml:space="preserve">, i.e. WIDs that have been discussed repeatedly in a given working group, the proponents are encouraged to propose the WID to SA directly. </w:t>
      </w:r>
      <w:r w:rsidR="00CD6128">
        <w:rPr>
          <w:rFonts w:ascii="Arial" w:hAnsi="Arial" w:cs="Arial"/>
          <w:color w:val="120100"/>
          <w:sz w:val="18"/>
          <w:szCs w:val="18"/>
        </w:rPr>
        <w:t>Further, proposals for work that have not been agreed at the working group level due to them appearing to be ‘out of scope for 3GPP,’ or similar concerns, should be presented at SA for a decision.</w:t>
      </w:r>
    </w:p>
    <w:p w:rsidR="00BE06B1" w:rsidRDefault="00077480" w:rsidP="0006455C">
      <w:pPr>
        <w:rPr>
          <w:rFonts w:ascii="Arial" w:hAnsi="Arial" w:cs="Arial"/>
          <w:color w:val="000000"/>
          <w:sz w:val="18"/>
        </w:rPr>
      </w:pPr>
      <w:r>
        <w:rPr>
          <w:rFonts w:ascii="Arial" w:hAnsi="Arial" w:cs="Arial"/>
          <w:color w:val="120100"/>
          <w:sz w:val="18"/>
          <w:szCs w:val="18"/>
        </w:rPr>
        <w:t>B</w:t>
      </w:r>
      <w:r w:rsidR="00BE06B1" w:rsidRPr="00817D41">
        <w:rPr>
          <w:rFonts w:ascii="Arial" w:hAnsi="Arial" w:cs="Arial"/>
          <w:color w:val="000000"/>
          <w:sz w:val="18"/>
        </w:rPr>
        <w:t xml:space="preserve">ringing proposals for work directly to SA leads to decisions where discussions otherwise become difficult at the working group level. Especially (a) when proposals for new work items go beyond the usual scope of </w:t>
      </w:r>
      <w:proofErr w:type="spellStart"/>
      <w:r w:rsidR="00BE06B1" w:rsidRPr="00817D41">
        <w:rPr>
          <w:rFonts w:ascii="Arial" w:hAnsi="Arial" w:cs="Arial"/>
          <w:color w:val="000000"/>
          <w:sz w:val="18"/>
        </w:rPr>
        <w:t>ToRs</w:t>
      </w:r>
      <w:proofErr w:type="spellEnd"/>
      <w:r w:rsidR="00BE06B1" w:rsidRPr="00817D41">
        <w:rPr>
          <w:rFonts w:ascii="Arial" w:hAnsi="Arial" w:cs="Arial"/>
          <w:color w:val="000000"/>
          <w:sz w:val="18"/>
        </w:rPr>
        <w:t xml:space="preserve"> of working groups, or (b) proposals prove controversial and some question whether the proposal is ‘in scope of 3GPP’ or whether it is acceptable at all as a new activity, or (c) proposals challenge agreements or decisions taken in the past.</w:t>
      </w:r>
      <w:r>
        <w:rPr>
          <w:rFonts w:ascii="Arial" w:hAnsi="Arial" w:cs="Arial"/>
          <w:color w:val="000000"/>
          <w:sz w:val="18"/>
        </w:rPr>
        <w:t xml:space="preserve"> Furthermore, the benefit of escalating decisions on controversial WIDs </w:t>
      </w:r>
      <w:r w:rsidR="008E757A">
        <w:rPr>
          <w:rFonts w:ascii="Arial" w:hAnsi="Arial" w:cs="Arial"/>
          <w:color w:val="000000"/>
          <w:sz w:val="18"/>
        </w:rPr>
        <w:t xml:space="preserve">to TSG SA </w:t>
      </w:r>
      <w:r>
        <w:rPr>
          <w:rFonts w:ascii="Arial" w:hAnsi="Arial" w:cs="Arial"/>
          <w:color w:val="000000"/>
          <w:sz w:val="18"/>
        </w:rPr>
        <w:t>is that a TSG-wide decision can be taken instead of having to repeat discussions in multiple WGs.</w:t>
      </w:r>
    </w:p>
    <w:p w:rsidR="00B921E1" w:rsidRPr="00B921E1" w:rsidRDefault="00013601" w:rsidP="0006455C">
      <w:pPr>
        <w:rPr>
          <w:b/>
          <w:color w:val="000000"/>
          <w:sz w:val="18"/>
        </w:rPr>
      </w:pPr>
      <w:r>
        <w:rPr>
          <w:rFonts w:ascii="Arial" w:hAnsi="Arial" w:cs="Arial"/>
          <w:b/>
          <w:color w:val="000000"/>
          <w:sz w:val="18"/>
        </w:rPr>
        <w:t>It is proposed that SA acknowledge that member companies</w:t>
      </w:r>
      <w:r w:rsidR="00B921E1">
        <w:rPr>
          <w:rFonts w:ascii="Arial" w:hAnsi="Arial" w:cs="Arial"/>
          <w:b/>
          <w:color w:val="000000"/>
          <w:sz w:val="18"/>
        </w:rPr>
        <w:t xml:space="preserve"> </w:t>
      </w:r>
      <w:bookmarkStart w:id="0" w:name="_GoBack"/>
      <w:bookmarkEnd w:id="0"/>
      <w:r>
        <w:rPr>
          <w:rFonts w:ascii="Arial" w:hAnsi="Arial" w:cs="Arial"/>
          <w:b/>
          <w:color w:val="000000"/>
          <w:sz w:val="18"/>
        </w:rPr>
        <w:t>may</w:t>
      </w:r>
      <w:r w:rsidR="00B921E1">
        <w:rPr>
          <w:rFonts w:ascii="Arial" w:hAnsi="Arial" w:cs="Arial"/>
          <w:b/>
          <w:color w:val="000000"/>
          <w:sz w:val="18"/>
        </w:rPr>
        <w:t xml:space="preserve"> </w:t>
      </w:r>
      <w:r>
        <w:rPr>
          <w:rFonts w:ascii="Arial" w:hAnsi="Arial" w:cs="Arial"/>
          <w:b/>
          <w:color w:val="000000"/>
          <w:sz w:val="18"/>
        </w:rPr>
        <w:t>submit</w:t>
      </w:r>
      <w:r w:rsidR="00B921E1">
        <w:rPr>
          <w:rFonts w:ascii="Arial" w:hAnsi="Arial" w:cs="Arial"/>
          <w:b/>
          <w:color w:val="000000"/>
          <w:sz w:val="18"/>
        </w:rPr>
        <w:t xml:space="preserve"> controversial WIDs</w:t>
      </w:r>
      <w:r>
        <w:rPr>
          <w:rFonts w:ascii="Arial" w:hAnsi="Arial" w:cs="Arial"/>
          <w:b/>
          <w:color w:val="000000"/>
          <w:sz w:val="18"/>
        </w:rPr>
        <w:t xml:space="preserve"> to SA</w:t>
      </w:r>
      <w:r w:rsidR="005B461E">
        <w:rPr>
          <w:rFonts w:ascii="Arial" w:hAnsi="Arial" w:cs="Arial"/>
          <w:b/>
          <w:color w:val="000000"/>
          <w:sz w:val="18"/>
        </w:rPr>
        <w:t>, to seek a broader discussion and a decision on whether and how to proceed.</w:t>
      </w:r>
    </w:p>
    <w:p w:rsidR="00EE54C7" w:rsidRDefault="00EE54C7" w:rsidP="00EE54C7">
      <w:pPr>
        <w:pStyle w:val="Heading2"/>
        <w:rPr>
          <w:lang w:val="en-US"/>
        </w:rPr>
      </w:pPr>
      <w:r>
        <w:rPr>
          <w:lang w:val="en-US"/>
        </w:rPr>
        <w:t>4.2</w:t>
      </w:r>
      <w:r>
        <w:rPr>
          <w:lang w:val="en-US"/>
        </w:rPr>
        <w:tab/>
        <w:t xml:space="preserve">Determining </w:t>
      </w:r>
      <w:proofErr w:type="gramStart"/>
      <w:r>
        <w:rPr>
          <w:lang w:val="en-US"/>
        </w:rPr>
        <w:t>Whether</w:t>
      </w:r>
      <w:proofErr w:type="gramEnd"/>
      <w:r>
        <w:rPr>
          <w:lang w:val="en-US"/>
        </w:rPr>
        <w:t xml:space="preserve"> and Where to start new work</w:t>
      </w:r>
    </w:p>
    <w:p w:rsidR="00EE54C7" w:rsidRDefault="00A05063" w:rsidP="00EE54C7">
      <w:pPr>
        <w:rPr>
          <w:rFonts w:ascii="Arial" w:hAnsi="Arial" w:cs="Arial"/>
          <w:sz w:val="18"/>
          <w:lang w:val="en-US"/>
        </w:rPr>
      </w:pPr>
      <w:r w:rsidRPr="00A05063">
        <w:rPr>
          <w:rFonts w:ascii="Arial" w:hAnsi="Arial" w:cs="Arial"/>
          <w:sz w:val="18"/>
          <w:lang w:val="en-US"/>
        </w:rPr>
        <w:t>As clarified above, TS 21.900 foresees</w:t>
      </w:r>
    </w:p>
    <w:p w:rsidR="00A05063" w:rsidRDefault="00A05063" w:rsidP="00EE54C7">
      <w:pPr>
        <w:rPr>
          <w:color w:val="000000"/>
        </w:rPr>
      </w:pPr>
      <w:r>
        <w:rPr>
          <w:color w:val="000000"/>
          <w:shd w:val="clear" w:color="auto" w:fill="FFFF00"/>
        </w:rPr>
        <w:t>For new services, features or functions, the TSG responsible for Services and System Aspects is the relevant TSG. This TSG shall assign prime and, if necessary, secondary responsible TSGs for the corresponding Work Items</w:t>
      </w:r>
      <w:r>
        <w:rPr>
          <w:color w:val="000000"/>
        </w:rPr>
        <w:t>.</w:t>
      </w:r>
    </w:p>
    <w:p w:rsidR="00A05063" w:rsidRDefault="00A05063" w:rsidP="00EE54C7">
      <w:pPr>
        <w:rPr>
          <w:rFonts w:ascii="Arial" w:hAnsi="Arial" w:cs="Arial"/>
          <w:sz w:val="18"/>
          <w:lang w:val="en-US"/>
        </w:rPr>
      </w:pPr>
      <w:r>
        <w:rPr>
          <w:rFonts w:ascii="Arial" w:hAnsi="Arial" w:cs="Arial"/>
          <w:sz w:val="18"/>
          <w:lang w:val="en-US"/>
        </w:rPr>
        <w:t>It is proposed to endorse the following policy with respect to new work being brought to 3GPP, for example by stakeholders representing vertical industries not yet active in 3GPP:</w:t>
      </w:r>
    </w:p>
    <w:p w:rsidR="00A05063" w:rsidRPr="00A05063" w:rsidRDefault="00B921E1" w:rsidP="00EE54C7">
      <w:pPr>
        <w:rPr>
          <w:rFonts w:ascii="Arial" w:hAnsi="Arial" w:cs="Arial"/>
          <w:b/>
          <w:sz w:val="18"/>
          <w:lang w:val="en-US"/>
        </w:rPr>
      </w:pPr>
      <w:r>
        <w:rPr>
          <w:rFonts w:ascii="Arial" w:hAnsi="Arial" w:cs="Arial"/>
          <w:b/>
          <w:sz w:val="18"/>
          <w:lang w:val="en-US"/>
        </w:rPr>
        <w:t>It is proposed to invite presentations by member companies to SA, to provide</w:t>
      </w:r>
      <w:r w:rsidR="00A05063" w:rsidRPr="00A05063">
        <w:rPr>
          <w:rFonts w:ascii="Arial" w:hAnsi="Arial" w:cs="Arial"/>
          <w:b/>
          <w:sz w:val="18"/>
          <w:lang w:val="en-US"/>
        </w:rPr>
        <w:t xml:space="preserve"> an introduction to the opportunities offered </w:t>
      </w:r>
      <w:r>
        <w:rPr>
          <w:rFonts w:ascii="Arial" w:hAnsi="Arial" w:cs="Arial"/>
          <w:b/>
          <w:sz w:val="18"/>
          <w:lang w:val="en-US"/>
        </w:rPr>
        <w:t xml:space="preserve">(e.g. </w:t>
      </w:r>
      <w:r w:rsidR="00A05063" w:rsidRPr="00A05063">
        <w:rPr>
          <w:rFonts w:ascii="Arial" w:hAnsi="Arial" w:cs="Arial"/>
          <w:b/>
          <w:sz w:val="18"/>
          <w:lang w:val="en-US"/>
        </w:rPr>
        <w:t>by the new vertical industry.</w:t>
      </w:r>
      <w:r>
        <w:rPr>
          <w:rFonts w:ascii="Arial" w:hAnsi="Arial" w:cs="Arial"/>
          <w:b/>
          <w:sz w:val="18"/>
          <w:lang w:val="en-US"/>
        </w:rPr>
        <w:t>)</w:t>
      </w:r>
      <w:r w:rsidR="00A05063" w:rsidRPr="00A05063">
        <w:rPr>
          <w:rFonts w:ascii="Arial" w:hAnsi="Arial" w:cs="Arial"/>
          <w:b/>
          <w:sz w:val="18"/>
          <w:lang w:val="en-US"/>
        </w:rPr>
        <w:t xml:space="preserve"> On the basis of discussion and member contributed proposals, TSG SA will </w:t>
      </w:r>
      <w:r>
        <w:rPr>
          <w:rFonts w:ascii="Arial" w:hAnsi="Arial" w:cs="Arial"/>
          <w:b/>
          <w:sz w:val="18"/>
          <w:lang w:val="en-US"/>
        </w:rPr>
        <w:t>advise whether,</w:t>
      </w:r>
      <w:r w:rsidR="00A05063" w:rsidRPr="00A05063">
        <w:rPr>
          <w:rFonts w:ascii="Arial" w:hAnsi="Arial" w:cs="Arial"/>
          <w:b/>
          <w:sz w:val="18"/>
          <w:lang w:val="en-US"/>
        </w:rPr>
        <w:t xml:space="preserve"> how and in </w:t>
      </w:r>
      <w:r w:rsidR="00A05063">
        <w:rPr>
          <w:rFonts w:ascii="Arial" w:hAnsi="Arial" w:cs="Arial"/>
          <w:b/>
          <w:sz w:val="18"/>
          <w:lang w:val="en-US"/>
        </w:rPr>
        <w:t>which TSG or working group</w:t>
      </w:r>
      <w:r w:rsidR="00A05063" w:rsidRPr="00A05063">
        <w:rPr>
          <w:rFonts w:ascii="Arial" w:hAnsi="Arial" w:cs="Arial"/>
          <w:b/>
          <w:sz w:val="18"/>
          <w:lang w:val="en-US"/>
        </w:rPr>
        <w:t xml:space="preserve"> to pursue work.</w:t>
      </w:r>
      <w:r w:rsidR="00983592">
        <w:rPr>
          <w:rFonts w:ascii="Arial" w:hAnsi="Arial" w:cs="Arial"/>
          <w:b/>
          <w:sz w:val="18"/>
          <w:lang w:val="en-US"/>
        </w:rPr>
        <w:t xml:space="preserve"> This proposal in no way discourages member companies from proposing WIDs directly in working groups as in the past.</w:t>
      </w:r>
    </w:p>
    <w:p w:rsidR="00BE06B1" w:rsidRPr="0006455C" w:rsidRDefault="00077480" w:rsidP="0006455C">
      <w:pPr>
        <w:pStyle w:val="Heading2"/>
        <w:rPr>
          <w:lang w:val="en-US"/>
        </w:rPr>
      </w:pPr>
      <w:r>
        <w:rPr>
          <w:lang w:val="en-US"/>
        </w:rPr>
        <w:t>4.</w:t>
      </w:r>
      <w:r w:rsidR="00EE54C7">
        <w:rPr>
          <w:lang w:val="en-US"/>
        </w:rPr>
        <w:t>3</w:t>
      </w:r>
      <w:r>
        <w:rPr>
          <w:lang w:val="en-US"/>
        </w:rPr>
        <w:tab/>
        <w:t>Determining RAN-SA dependencies</w:t>
      </w:r>
    </w:p>
    <w:p w:rsidR="00766094" w:rsidRPr="00766094" w:rsidRDefault="00B921E1" w:rsidP="00B83282">
      <w:pPr>
        <w:spacing w:after="120"/>
        <w:rPr>
          <w:rFonts w:ascii="Arial" w:hAnsi="Arial" w:cs="Arial"/>
          <w:b/>
          <w:color w:val="120100"/>
          <w:sz w:val="18"/>
          <w:szCs w:val="18"/>
        </w:rPr>
      </w:pPr>
      <w:r>
        <w:rPr>
          <w:rFonts w:ascii="Arial" w:hAnsi="Arial" w:cs="Arial"/>
          <w:b/>
          <w:color w:val="120100"/>
          <w:sz w:val="18"/>
          <w:szCs w:val="18"/>
        </w:rPr>
        <w:t>It is proposed to encourage WG chairmen to escalate WIDs for which there is doubt whether it is appropriate to proceed due to cross-TSG dependencies and seek TSG SA guidance how to proceed.</w:t>
      </w:r>
    </w:p>
    <w:sectPr w:rsidR="00766094" w:rsidRPr="0076609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3A2" w:rsidRDefault="004943A2">
      <w:r>
        <w:separator/>
      </w:r>
    </w:p>
  </w:endnote>
  <w:endnote w:type="continuationSeparator" w:id="0">
    <w:p w:rsidR="004943A2" w:rsidRDefault="0049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3A2" w:rsidRDefault="004943A2">
      <w:r>
        <w:separator/>
      </w:r>
    </w:p>
  </w:footnote>
  <w:footnote w:type="continuationSeparator" w:id="0">
    <w:p w:rsidR="004943A2" w:rsidRDefault="00494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562" w:rsidRDefault="00F7456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15C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A635C3"/>
    <w:multiLevelType w:val="hybridMultilevel"/>
    <w:tmpl w:val="97368422"/>
    <w:lvl w:ilvl="0" w:tplc="5D2E2B1E">
      <w:start w:val="5"/>
      <w:numFmt w:val="bullet"/>
      <w:lvlText w:val=""/>
      <w:lvlJc w:val="left"/>
      <w:pPr>
        <w:ind w:left="720" w:hanging="360"/>
      </w:pPr>
      <w:rPr>
        <w:rFonts w:ascii="Symbol" w:eastAsia="Verdan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BE74D28"/>
    <w:multiLevelType w:val="hybridMultilevel"/>
    <w:tmpl w:val="96801472"/>
    <w:lvl w:ilvl="0" w:tplc="8AEE39BE">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6E73E2"/>
    <w:multiLevelType w:val="hybridMultilevel"/>
    <w:tmpl w:val="94E487BA"/>
    <w:lvl w:ilvl="0" w:tplc="08090011">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abstractNum w:abstractNumId="4">
    <w:nsid w:val="128413C8"/>
    <w:multiLevelType w:val="hybridMultilevel"/>
    <w:tmpl w:val="70B2DC04"/>
    <w:lvl w:ilvl="0" w:tplc="55144E9E">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2BDE1C88"/>
    <w:multiLevelType w:val="hybridMultilevel"/>
    <w:tmpl w:val="2DA68508"/>
    <w:lvl w:ilvl="0" w:tplc="72E4205E">
      <w:start w:val="1"/>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8B289D"/>
    <w:multiLevelType w:val="hybridMultilevel"/>
    <w:tmpl w:val="F022D9E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4838A5"/>
    <w:multiLevelType w:val="hybridMultilevel"/>
    <w:tmpl w:val="E27646E2"/>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0D95A57"/>
    <w:multiLevelType w:val="multilevel"/>
    <w:tmpl w:val="011CCF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60001FF6"/>
    <w:multiLevelType w:val="hybridMultilevel"/>
    <w:tmpl w:val="8976E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1F1330E"/>
    <w:multiLevelType w:val="hybridMultilevel"/>
    <w:tmpl w:val="25BE545C"/>
    <w:lvl w:ilvl="0" w:tplc="DA2EC8F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6C84374"/>
    <w:multiLevelType w:val="hybridMultilevel"/>
    <w:tmpl w:val="4720059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797E1D24"/>
    <w:multiLevelType w:val="hybridMultilevel"/>
    <w:tmpl w:val="5C3A9CB8"/>
    <w:lvl w:ilvl="0" w:tplc="45FE84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A1D748C"/>
    <w:multiLevelType w:val="hybridMultilevel"/>
    <w:tmpl w:val="9ABA6D68"/>
    <w:lvl w:ilvl="0" w:tplc="189C56BA">
      <w:start w:val="1"/>
      <w:numFmt w:val="decimal"/>
      <w:lvlText w:val="%1)"/>
      <w:lvlJc w:val="left"/>
      <w:pPr>
        <w:ind w:left="692" w:hanging="360"/>
      </w:pPr>
      <w:rPr>
        <w:rFonts w:hint="default"/>
      </w:rPr>
    </w:lvl>
    <w:lvl w:ilvl="1" w:tplc="08090019" w:tentative="1">
      <w:start w:val="1"/>
      <w:numFmt w:val="lowerLetter"/>
      <w:lvlText w:val="%2."/>
      <w:lvlJc w:val="left"/>
      <w:pPr>
        <w:ind w:left="1412" w:hanging="360"/>
      </w:pPr>
    </w:lvl>
    <w:lvl w:ilvl="2" w:tplc="0809001B" w:tentative="1">
      <w:start w:val="1"/>
      <w:numFmt w:val="lowerRoman"/>
      <w:lvlText w:val="%3."/>
      <w:lvlJc w:val="right"/>
      <w:pPr>
        <w:ind w:left="2132" w:hanging="180"/>
      </w:pPr>
    </w:lvl>
    <w:lvl w:ilvl="3" w:tplc="0809000F" w:tentative="1">
      <w:start w:val="1"/>
      <w:numFmt w:val="decimal"/>
      <w:lvlText w:val="%4."/>
      <w:lvlJc w:val="left"/>
      <w:pPr>
        <w:ind w:left="2852" w:hanging="360"/>
      </w:pPr>
    </w:lvl>
    <w:lvl w:ilvl="4" w:tplc="08090019" w:tentative="1">
      <w:start w:val="1"/>
      <w:numFmt w:val="lowerLetter"/>
      <w:lvlText w:val="%5."/>
      <w:lvlJc w:val="left"/>
      <w:pPr>
        <w:ind w:left="3572" w:hanging="360"/>
      </w:pPr>
    </w:lvl>
    <w:lvl w:ilvl="5" w:tplc="0809001B" w:tentative="1">
      <w:start w:val="1"/>
      <w:numFmt w:val="lowerRoman"/>
      <w:lvlText w:val="%6."/>
      <w:lvlJc w:val="right"/>
      <w:pPr>
        <w:ind w:left="4292" w:hanging="180"/>
      </w:pPr>
    </w:lvl>
    <w:lvl w:ilvl="6" w:tplc="0809000F" w:tentative="1">
      <w:start w:val="1"/>
      <w:numFmt w:val="decimal"/>
      <w:lvlText w:val="%7."/>
      <w:lvlJc w:val="left"/>
      <w:pPr>
        <w:ind w:left="5012" w:hanging="360"/>
      </w:pPr>
    </w:lvl>
    <w:lvl w:ilvl="7" w:tplc="08090019" w:tentative="1">
      <w:start w:val="1"/>
      <w:numFmt w:val="lowerLetter"/>
      <w:lvlText w:val="%8."/>
      <w:lvlJc w:val="left"/>
      <w:pPr>
        <w:ind w:left="5732" w:hanging="360"/>
      </w:pPr>
    </w:lvl>
    <w:lvl w:ilvl="8" w:tplc="0809001B" w:tentative="1">
      <w:start w:val="1"/>
      <w:numFmt w:val="lowerRoman"/>
      <w:lvlText w:val="%9."/>
      <w:lvlJc w:val="right"/>
      <w:pPr>
        <w:ind w:left="6452" w:hanging="180"/>
      </w:pPr>
    </w:lvl>
  </w:abstractNum>
  <w:num w:numId="1">
    <w:abstractNumId w:val="0"/>
  </w:num>
  <w:num w:numId="2">
    <w:abstractNumId w:val="10"/>
  </w:num>
  <w:num w:numId="3">
    <w:abstractNumId w:val="7"/>
  </w:num>
  <w:num w:numId="4">
    <w:abstractNumId w:val="2"/>
  </w:num>
  <w:num w:numId="5">
    <w:abstractNumId w:val="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8"/>
  </w:num>
  <w:num w:numId="12">
    <w:abstractNumId w:val="12"/>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2C"/>
    <w:rsid w:val="00013601"/>
    <w:rsid w:val="00021522"/>
    <w:rsid w:val="00022E4A"/>
    <w:rsid w:val="00054C90"/>
    <w:rsid w:val="0006455C"/>
    <w:rsid w:val="0007186F"/>
    <w:rsid w:val="00073DA0"/>
    <w:rsid w:val="00077480"/>
    <w:rsid w:val="0008781C"/>
    <w:rsid w:val="000A0607"/>
    <w:rsid w:val="000A0740"/>
    <w:rsid w:val="000A5BBF"/>
    <w:rsid w:val="000B6310"/>
    <w:rsid w:val="000C6598"/>
    <w:rsid w:val="000F73CB"/>
    <w:rsid w:val="000F76CD"/>
    <w:rsid w:val="00102B7F"/>
    <w:rsid w:val="00104131"/>
    <w:rsid w:val="00107AAB"/>
    <w:rsid w:val="00107C40"/>
    <w:rsid w:val="00111D3E"/>
    <w:rsid w:val="0012798E"/>
    <w:rsid w:val="001305DD"/>
    <w:rsid w:val="0013504C"/>
    <w:rsid w:val="00151DA8"/>
    <w:rsid w:val="001526CE"/>
    <w:rsid w:val="001553AD"/>
    <w:rsid w:val="00156707"/>
    <w:rsid w:val="00174F86"/>
    <w:rsid w:val="00177F72"/>
    <w:rsid w:val="00192122"/>
    <w:rsid w:val="00194675"/>
    <w:rsid w:val="001A15EF"/>
    <w:rsid w:val="001D3738"/>
    <w:rsid w:val="001E27AB"/>
    <w:rsid w:val="001E41F3"/>
    <w:rsid w:val="001E5A1C"/>
    <w:rsid w:val="0020225A"/>
    <w:rsid w:val="002100CD"/>
    <w:rsid w:val="00210E61"/>
    <w:rsid w:val="00212FF7"/>
    <w:rsid w:val="002231B9"/>
    <w:rsid w:val="00230753"/>
    <w:rsid w:val="00232D54"/>
    <w:rsid w:val="00236E33"/>
    <w:rsid w:val="00247FAF"/>
    <w:rsid w:val="002526A0"/>
    <w:rsid w:val="00262BAD"/>
    <w:rsid w:val="00275D12"/>
    <w:rsid w:val="00294FCC"/>
    <w:rsid w:val="002954E6"/>
    <w:rsid w:val="00296D6F"/>
    <w:rsid w:val="002A412E"/>
    <w:rsid w:val="002B1F0E"/>
    <w:rsid w:val="002B38EA"/>
    <w:rsid w:val="002B4F5F"/>
    <w:rsid w:val="002E5907"/>
    <w:rsid w:val="0030216E"/>
    <w:rsid w:val="003131B7"/>
    <w:rsid w:val="00332BBF"/>
    <w:rsid w:val="00347CAD"/>
    <w:rsid w:val="00355757"/>
    <w:rsid w:val="003577A1"/>
    <w:rsid w:val="00363A2D"/>
    <w:rsid w:val="00370766"/>
    <w:rsid w:val="00382ACB"/>
    <w:rsid w:val="003D33C6"/>
    <w:rsid w:val="003E01C9"/>
    <w:rsid w:val="003E29EF"/>
    <w:rsid w:val="003E38A2"/>
    <w:rsid w:val="003F00E8"/>
    <w:rsid w:val="00400063"/>
    <w:rsid w:val="0040149B"/>
    <w:rsid w:val="004040C6"/>
    <w:rsid w:val="00410947"/>
    <w:rsid w:val="004120CD"/>
    <w:rsid w:val="00416537"/>
    <w:rsid w:val="00424B44"/>
    <w:rsid w:val="00431E88"/>
    <w:rsid w:val="004329CE"/>
    <w:rsid w:val="00435CB7"/>
    <w:rsid w:val="00436BAB"/>
    <w:rsid w:val="0043717A"/>
    <w:rsid w:val="00452BA9"/>
    <w:rsid w:val="004543B0"/>
    <w:rsid w:val="00475AE2"/>
    <w:rsid w:val="004818B1"/>
    <w:rsid w:val="00486FED"/>
    <w:rsid w:val="0049014B"/>
    <w:rsid w:val="00491579"/>
    <w:rsid w:val="0049211E"/>
    <w:rsid w:val="004943A2"/>
    <w:rsid w:val="0049670D"/>
    <w:rsid w:val="0049733C"/>
    <w:rsid w:val="004A1BB0"/>
    <w:rsid w:val="004A6CE2"/>
    <w:rsid w:val="004D5C22"/>
    <w:rsid w:val="0050464C"/>
    <w:rsid w:val="0050780D"/>
    <w:rsid w:val="00525DE5"/>
    <w:rsid w:val="00525E41"/>
    <w:rsid w:val="005660BD"/>
    <w:rsid w:val="00567FC9"/>
    <w:rsid w:val="00572E6E"/>
    <w:rsid w:val="0058703A"/>
    <w:rsid w:val="005A3F92"/>
    <w:rsid w:val="005B461E"/>
    <w:rsid w:val="005B5D33"/>
    <w:rsid w:val="005B7769"/>
    <w:rsid w:val="005B7CFB"/>
    <w:rsid w:val="005C1635"/>
    <w:rsid w:val="005D5305"/>
    <w:rsid w:val="005E2C44"/>
    <w:rsid w:val="005E4909"/>
    <w:rsid w:val="005F6C31"/>
    <w:rsid w:val="00600DC4"/>
    <w:rsid w:val="0060563D"/>
    <w:rsid w:val="006065EB"/>
    <w:rsid w:val="00607CA1"/>
    <w:rsid w:val="00611C10"/>
    <w:rsid w:val="006207FC"/>
    <w:rsid w:val="00633FD4"/>
    <w:rsid w:val="00642835"/>
    <w:rsid w:val="0064519F"/>
    <w:rsid w:val="00647781"/>
    <w:rsid w:val="0065003E"/>
    <w:rsid w:val="00653D7C"/>
    <w:rsid w:val="00681DA1"/>
    <w:rsid w:val="006901E2"/>
    <w:rsid w:val="00690ED5"/>
    <w:rsid w:val="006A0945"/>
    <w:rsid w:val="006A0FAB"/>
    <w:rsid w:val="006C7F07"/>
    <w:rsid w:val="006D4207"/>
    <w:rsid w:val="006D4DAA"/>
    <w:rsid w:val="006E21FB"/>
    <w:rsid w:val="006F2664"/>
    <w:rsid w:val="007010B6"/>
    <w:rsid w:val="00712A2B"/>
    <w:rsid w:val="00713847"/>
    <w:rsid w:val="00722FA4"/>
    <w:rsid w:val="0073780F"/>
    <w:rsid w:val="007479F4"/>
    <w:rsid w:val="007520B5"/>
    <w:rsid w:val="00766094"/>
    <w:rsid w:val="00794119"/>
    <w:rsid w:val="007A4A08"/>
    <w:rsid w:val="007B2647"/>
    <w:rsid w:val="007B4183"/>
    <w:rsid w:val="007B512A"/>
    <w:rsid w:val="007C2097"/>
    <w:rsid w:val="007C3711"/>
    <w:rsid w:val="007C4B8F"/>
    <w:rsid w:val="007E0DCE"/>
    <w:rsid w:val="007E16D9"/>
    <w:rsid w:val="00800104"/>
    <w:rsid w:val="008054F3"/>
    <w:rsid w:val="00817868"/>
    <w:rsid w:val="00817D41"/>
    <w:rsid w:val="008228D0"/>
    <w:rsid w:val="00837283"/>
    <w:rsid w:val="00843C3D"/>
    <w:rsid w:val="00852FAB"/>
    <w:rsid w:val="0085467E"/>
    <w:rsid w:val="00856B98"/>
    <w:rsid w:val="00862F41"/>
    <w:rsid w:val="00870EE7"/>
    <w:rsid w:val="00881AEE"/>
    <w:rsid w:val="008A0451"/>
    <w:rsid w:val="008A5E86"/>
    <w:rsid w:val="008B1118"/>
    <w:rsid w:val="008B3DB0"/>
    <w:rsid w:val="008B412D"/>
    <w:rsid w:val="008B6B24"/>
    <w:rsid w:val="008E15A4"/>
    <w:rsid w:val="008E448A"/>
    <w:rsid w:val="008E757A"/>
    <w:rsid w:val="008F33A2"/>
    <w:rsid w:val="008F5FDC"/>
    <w:rsid w:val="008F647C"/>
    <w:rsid w:val="008F686C"/>
    <w:rsid w:val="00901234"/>
    <w:rsid w:val="00901B4D"/>
    <w:rsid w:val="00903BBE"/>
    <w:rsid w:val="00932439"/>
    <w:rsid w:val="00933A0E"/>
    <w:rsid w:val="0094560B"/>
    <w:rsid w:val="00946F9E"/>
    <w:rsid w:val="00957D6A"/>
    <w:rsid w:val="009814C1"/>
    <w:rsid w:val="00983592"/>
    <w:rsid w:val="00986ED5"/>
    <w:rsid w:val="009947C8"/>
    <w:rsid w:val="009A41C2"/>
    <w:rsid w:val="009B56A5"/>
    <w:rsid w:val="009C61B9"/>
    <w:rsid w:val="009C76BC"/>
    <w:rsid w:val="009D1670"/>
    <w:rsid w:val="009E3297"/>
    <w:rsid w:val="009E6327"/>
    <w:rsid w:val="009F58B4"/>
    <w:rsid w:val="009F5DAC"/>
    <w:rsid w:val="009F7FF6"/>
    <w:rsid w:val="00A05063"/>
    <w:rsid w:val="00A14E35"/>
    <w:rsid w:val="00A3408D"/>
    <w:rsid w:val="00A3669C"/>
    <w:rsid w:val="00A4047C"/>
    <w:rsid w:val="00A40F64"/>
    <w:rsid w:val="00A47E70"/>
    <w:rsid w:val="00A54EDA"/>
    <w:rsid w:val="00A823B2"/>
    <w:rsid w:val="00A8322D"/>
    <w:rsid w:val="00AA50C1"/>
    <w:rsid w:val="00AB6534"/>
    <w:rsid w:val="00AD1DAB"/>
    <w:rsid w:val="00AD2965"/>
    <w:rsid w:val="00AD384E"/>
    <w:rsid w:val="00AD7C25"/>
    <w:rsid w:val="00B05A46"/>
    <w:rsid w:val="00B05B9E"/>
    <w:rsid w:val="00B258BB"/>
    <w:rsid w:val="00B40CCF"/>
    <w:rsid w:val="00B46356"/>
    <w:rsid w:val="00B66D06"/>
    <w:rsid w:val="00B71C67"/>
    <w:rsid w:val="00B754CE"/>
    <w:rsid w:val="00B8024E"/>
    <w:rsid w:val="00B825E0"/>
    <w:rsid w:val="00B83282"/>
    <w:rsid w:val="00B921E1"/>
    <w:rsid w:val="00B94BBF"/>
    <w:rsid w:val="00B95BA0"/>
    <w:rsid w:val="00B95BC8"/>
    <w:rsid w:val="00BB5DFC"/>
    <w:rsid w:val="00BC0375"/>
    <w:rsid w:val="00BC5C38"/>
    <w:rsid w:val="00BC7EB8"/>
    <w:rsid w:val="00BD279D"/>
    <w:rsid w:val="00BE06B1"/>
    <w:rsid w:val="00BF7D45"/>
    <w:rsid w:val="00C123D3"/>
    <w:rsid w:val="00C16363"/>
    <w:rsid w:val="00C1723F"/>
    <w:rsid w:val="00C176E2"/>
    <w:rsid w:val="00C217B8"/>
    <w:rsid w:val="00C21836"/>
    <w:rsid w:val="00C31652"/>
    <w:rsid w:val="00C35B9B"/>
    <w:rsid w:val="00C47A5D"/>
    <w:rsid w:val="00C51134"/>
    <w:rsid w:val="00C524DD"/>
    <w:rsid w:val="00C56D7D"/>
    <w:rsid w:val="00C63520"/>
    <w:rsid w:val="00C953E5"/>
    <w:rsid w:val="00C95985"/>
    <w:rsid w:val="00C96EAE"/>
    <w:rsid w:val="00CA259E"/>
    <w:rsid w:val="00CA3886"/>
    <w:rsid w:val="00CA4650"/>
    <w:rsid w:val="00CB1407"/>
    <w:rsid w:val="00CB1493"/>
    <w:rsid w:val="00CB204C"/>
    <w:rsid w:val="00CC22D4"/>
    <w:rsid w:val="00CC5026"/>
    <w:rsid w:val="00CC6EDD"/>
    <w:rsid w:val="00CD2478"/>
    <w:rsid w:val="00CD3417"/>
    <w:rsid w:val="00CD6128"/>
    <w:rsid w:val="00CD7E2B"/>
    <w:rsid w:val="00CE21CA"/>
    <w:rsid w:val="00CF11CD"/>
    <w:rsid w:val="00D10872"/>
    <w:rsid w:val="00D30BBA"/>
    <w:rsid w:val="00D34BB7"/>
    <w:rsid w:val="00D407B1"/>
    <w:rsid w:val="00D54E8C"/>
    <w:rsid w:val="00D65026"/>
    <w:rsid w:val="00D658A3"/>
    <w:rsid w:val="00D70D86"/>
    <w:rsid w:val="00D8124F"/>
    <w:rsid w:val="00D83BF8"/>
    <w:rsid w:val="00D86EC3"/>
    <w:rsid w:val="00DA4A78"/>
    <w:rsid w:val="00DA75EC"/>
    <w:rsid w:val="00DB205A"/>
    <w:rsid w:val="00DB5301"/>
    <w:rsid w:val="00DB5A6D"/>
    <w:rsid w:val="00DB75D9"/>
    <w:rsid w:val="00DC492A"/>
    <w:rsid w:val="00DE5887"/>
    <w:rsid w:val="00E00442"/>
    <w:rsid w:val="00E20CD5"/>
    <w:rsid w:val="00E22736"/>
    <w:rsid w:val="00E412FD"/>
    <w:rsid w:val="00E42C12"/>
    <w:rsid w:val="00E4485C"/>
    <w:rsid w:val="00E50C3F"/>
    <w:rsid w:val="00E55CD8"/>
    <w:rsid w:val="00E5646D"/>
    <w:rsid w:val="00E60EC9"/>
    <w:rsid w:val="00E66ECE"/>
    <w:rsid w:val="00E704F5"/>
    <w:rsid w:val="00E81BF9"/>
    <w:rsid w:val="00E84466"/>
    <w:rsid w:val="00E91210"/>
    <w:rsid w:val="00EB4FA3"/>
    <w:rsid w:val="00EB77F5"/>
    <w:rsid w:val="00EC4DBC"/>
    <w:rsid w:val="00ED4616"/>
    <w:rsid w:val="00ED5B7D"/>
    <w:rsid w:val="00EE0EEB"/>
    <w:rsid w:val="00EE319F"/>
    <w:rsid w:val="00EE54C7"/>
    <w:rsid w:val="00EE7D7C"/>
    <w:rsid w:val="00EF0538"/>
    <w:rsid w:val="00EF2CB8"/>
    <w:rsid w:val="00EF2CFC"/>
    <w:rsid w:val="00F06166"/>
    <w:rsid w:val="00F10DFC"/>
    <w:rsid w:val="00F171D1"/>
    <w:rsid w:val="00F25D98"/>
    <w:rsid w:val="00F27894"/>
    <w:rsid w:val="00F300FB"/>
    <w:rsid w:val="00F5389E"/>
    <w:rsid w:val="00F545AC"/>
    <w:rsid w:val="00F5549B"/>
    <w:rsid w:val="00F61EE3"/>
    <w:rsid w:val="00F74562"/>
    <w:rsid w:val="00F7624B"/>
    <w:rsid w:val="00F81736"/>
    <w:rsid w:val="00F82915"/>
    <w:rsid w:val="00F9154B"/>
    <w:rsid w:val="00F91715"/>
    <w:rsid w:val="00F9205A"/>
    <w:rsid w:val="00F92762"/>
    <w:rsid w:val="00F946A3"/>
    <w:rsid w:val="00F95B00"/>
    <w:rsid w:val="00FB6386"/>
    <w:rsid w:val="00FC2029"/>
    <w:rsid w:val="00FC5400"/>
    <w:rsid w:val="00FC5EE9"/>
    <w:rsid w:val="00FC77DE"/>
    <w:rsid w:val="00FD1560"/>
    <w:rsid w:val="00FD77E9"/>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74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74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6847732">
      <w:bodyDiv w:val="1"/>
      <w:marLeft w:val="0"/>
      <w:marRight w:val="0"/>
      <w:marTop w:val="0"/>
      <w:marBottom w:val="0"/>
      <w:divBdr>
        <w:top w:val="none" w:sz="0" w:space="0" w:color="auto"/>
        <w:left w:val="none" w:sz="0" w:space="0" w:color="auto"/>
        <w:bottom w:val="none" w:sz="0" w:space="0" w:color="auto"/>
        <w:right w:val="none" w:sz="0" w:space="0" w:color="auto"/>
      </w:divBdr>
    </w:div>
    <w:div w:id="512770460">
      <w:bodyDiv w:val="1"/>
      <w:marLeft w:val="0"/>
      <w:marRight w:val="0"/>
      <w:marTop w:val="0"/>
      <w:marBottom w:val="0"/>
      <w:divBdr>
        <w:top w:val="none" w:sz="0" w:space="0" w:color="auto"/>
        <w:left w:val="none" w:sz="0" w:space="0" w:color="auto"/>
        <w:bottom w:val="none" w:sz="0" w:space="0" w:color="auto"/>
        <w:right w:val="none" w:sz="0" w:space="0" w:color="auto"/>
      </w:divBdr>
    </w:div>
    <w:div w:id="513424896">
      <w:bodyDiv w:val="1"/>
      <w:marLeft w:val="0"/>
      <w:marRight w:val="0"/>
      <w:marTop w:val="0"/>
      <w:marBottom w:val="0"/>
      <w:divBdr>
        <w:top w:val="none" w:sz="0" w:space="0" w:color="auto"/>
        <w:left w:val="none" w:sz="0" w:space="0" w:color="auto"/>
        <w:bottom w:val="none" w:sz="0" w:space="0" w:color="auto"/>
        <w:right w:val="none" w:sz="0" w:space="0" w:color="auto"/>
      </w:divBdr>
    </w:div>
    <w:div w:id="614677925">
      <w:bodyDiv w:val="1"/>
      <w:marLeft w:val="0"/>
      <w:marRight w:val="0"/>
      <w:marTop w:val="0"/>
      <w:marBottom w:val="0"/>
      <w:divBdr>
        <w:top w:val="none" w:sz="0" w:space="0" w:color="auto"/>
        <w:left w:val="none" w:sz="0" w:space="0" w:color="auto"/>
        <w:bottom w:val="none" w:sz="0" w:space="0" w:color="auto"/>
        <w:right w:val="none" w:sz="0" w:space="0" w:color="auto"/>
      </w:divBdr>
    </w:div>
    <w:div w:id="701900626">
      <w:bodyDiv w:val="1"/>
      <w:marLeft w:val="0"/>
      <w:marRight w:val="0"/>
      <w:marTop w:val="0"/>
      <w:marBottom w:val="0"/>
      <w:divBdr>
        <w:top w:val="none" w:sz="0" w:space="0" w:color="auto"/>
        <w:left w:val="none" w:sz="0" w:space="0" w:color="auto"/>
        <w:bottom w:val="none" w:sz="0" w:space="0" w:color="auto"/>
        <w:right w:val="none" w:sz="0" w:space="0" w:color="auto"/>
      </w:divBdr>
    </w:div>
    <w:div w:id="971322216">
      <w:bodyDiv w:val="1"/>
      <w:marLeft w:val="0"/>
      <w:marRight w:val="0"/>
      <w:marTop w:val="0"/>
      <w:marBottom w:val="0"/>
      <w:divBdr>
        <w:top w:val="none" w:sz="0" w:space="0" w:color="auto"/>
        <w:left w:val="none" w:sz="0" w:space="0" w:color="auto"/>
        <w:bottom w:val="none" w:sz="0" w:space="0" w:color="auto"/>
        <w:right w:val="none" w:sz="0" w:space="0" w:color="auto"/>
      </w:divBdr>
    </w:div>
    <w:div w:id="1019501470">
      <w:bodyDiv w:val="1"/>
      <w:marLeft w:val="0"/>
      <w:marRight w:val="0"/>
      <w:marTop w:val="0"/>
      <w:marBottom w:val="0"/>
      <w:divBdr>
        <w:top w:val="none" w:sz="0" w:space="0" w:color="auto"/>
        <w:left w:val="none" w:sz="0" w:space="0" w:color="auto"/>
        <w:bottom w:val="none" w:sz="0" w:space="0" w:color="auto"/>
        <w:right w:val="none" w:sz="0" w:space="0" w:color="auto"/>
      </w:divBdr>
      <w:divsChild>
        <w:div w:id="318196136">
          <w:marLeft w:val="1354"/>
          <w:marRight w:val="0"/>
          <w:marTop w:val="0"/>
          <w:marBottom w:val="180"/>
          <w:divBdr>
            <w:top w:val="none" w:sz="0" w:space="0" w:color="auto"/>
            <w:left w:val="none" w:sz="0" w:space="0" w:color="auto"/>
            <w:bottom w:val="none" w:sz="0" w:space="0" w:color="auto"/>
            <w:right w:val="none" w:sz="0" w:space="0" w:color="auto"/>
          </w:divBdr>
        </w:div>
        <w:div w:id="556282148">
          <w:marLeft w:val="1354"/>
          <w:marRight w:val="0"/>
          <w:marTop w:val="0"/>
          <w:marBottom w:val="180"/>
          <w:divBdr>
            <w:top w:val="none" w:sz="0" w:space="0" w:color="auto"/>
            <w:left w:val="none" w:sz="0" w:space="0" w:color="auto"/>
            <w:bottom w:val="none" w:sz="0" w:space="0" w:color="auto"/>
            <w:right w:val="none" w:sz="0" w:space="0" w:color="auto"/>
          </w:divBdr>
        </w:div>
        <w:div w:id="723065714">
          <w:marLeft w:val="1354"/>
          <w:marRight w:val="0"/>
          <w:marTop w:val="0"/>
          <w:marBottom w:val="180"/>
          <w:divBdr>
            <w:top w:val="none" w:sz="0" w:space="0" w:color="auto"/>
            <w:left w:val="none" w:sz="0" w:space="0" w:color="auto"/>
            <w:bottom w:val="none" w:sz="0" w:space="0" w:color="auto"/>
            <w:right w:val="none" w:sz="0" w:space="0" w:color="auto"/>
          </w:divBdr>
        </w:div>
        <w:div w:id="782461742">
          <w:marLeft w:val="1354"/>
          <w:marRight w:val="0"/>
          <w:marTop w:val="0"/>
          <w:marBottom w:val="180"/>
          <w:divBdr>
            <w:top w:val="none" w:sz="0" w:space="0" w:color="auto"/>
            <w:left w:val="none" w:sz="0" w:space="0" w:color="auto"/>
            <w:bottom w:val="none" w:sz="0" w:space="0" w:color="auto"/>
            <w:right w:val="none" w:sz="0" w:space="0" w:color="auto"/>
          </w:divBdr>
        </w:div>
        <w:div w:id="1643075949">
          <w:marLeft w:val="547"/>
          <w:marRight w:val="0"/>
          <w:marTop w:val="0"/>
          <w:marBottom w:val="180"/>
          <w:divBdr>
            <w:top w:val="none" w:sz="0" w:space="0" w:color="auto"/>
            <w:left w:val="none" w:sz="0" w:space="0" w:color="auto"/>
            <w:bottom w:val="none" w:sz="0" w:space="0" w:color="auto"/>
            <w:right w:val="none" w:sz="0" w:space="0" w:color="auto"/>
          </w:divBdr>
        </w:div>
        <w:div w:id="1927036215">
          <w:marLeft w:val="1354"/>
          <w:marRight w:val="0"/>
          <w:marTop w:val="0"/>
          <w:marBottom w:val="180"/>
          <w:divBdr>
            <w:top w:val="none" w:sz="0" w:space="0" w:color="auto"/>
            <w:left w:val="none" w:sz="0" w:space="0" w:color="auto"/>
            <w:bottom w:val="none" w:sz="0" w:space="0" w:color="auto"/>
            <w:right w:val="none" w:sz="0" w:space="0" w:color="auto"/>
          </w:divBdr>
        </w:div>
        <w:div w:id="2038197503">
          <w:marLeft w:val="1354"/>
          <w:marRight w:val="0"/>
          <w:marTop w:val="0"/>
          <w:marBottom w:val="180"/>
          <w:divBdr>
            <w:top w:val="none" w:sz="0" w:space="0" w:color="auto"/>
            <w:left w:val="none" w:sz="0" w:space="0" w:color="auto"/>
            <w:bottom w:val="none" w:sz="0" w:space="0" w:color="auto"/>
            <w:right w:val="none" w:sz="0" w:space="0" w:color="auto"/>
          </w:divBdr>
        </w:div>
      </w:divsChild>
    </w:div>
    <w:div w:id="103003471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3209924">
      <w:bodyDiv w:val="1"/>
      <w:marLeft w:val="0"/>
      <w:marRight w:val="0"/>
      <w:marTop w:val="0"/>
      <w:marBottom w:val="0"/>
      <w:divBdr>
        <w:top w:val="none" w:sz="0" w:space="0" w:color="auto"/>
        <w:left w:val="none" w:sz="0" w:space="0" w:color="auto"/>
        <w:bottom w:val="none" w:sz="0" w:space="0" w:color="auto"/>
        <w:right w:val="none" w:sz="0" w:space="0" w:color="auto"/>
      </w:divBdr>
      <w:divsChild>
        <w:div w:id="2023773799">
          <w:marLeft w:val="0"/>
          <w:marRight w:val="0"/>
          <w:marTop w:val="0"/>
          <w:marBottom w:val="0"/>
          <w:divBdr>
            <w:top w:val="single" w:sz="12" w:space="4" w:color="auto"/>
            <w:left w:val="none" w:sz="0" w:space="0" w:color="auto"/>
            <w:bottom w:val="none" w:sz="0" w:space="0" w:color="auto"/>
            <w:right w:val="none" w:sz="0" w:space="0" w:color="auto"/>
          </w:divBdr>
        </w:div>
      </w:divsChild>
    </w:div>
    <w:div w:id="1238323544">
      <w:bodyDiv w:val="1"/>
      <w:marLeft w:val="0"/>
      <w:marRight w:val="0"/>
      <w:marTop w:val="0"/>
      <w:marBottom w:val="0"/>
      <w:divBdr>
        <w:top w:val="none" w:sz="0" w:space="0" w:color="auto"/>
        <w:left w:val="none" w:sz="0" w:space="0" w:color="auto"/>
        <w:bottom w:val="none" w:sz="0" w:space="0" w:color="auto"/>
        <w:right w:val="none" w:sz="0" w:space="0" w:color="auto"/>
      </w:divBdr>
    </w:div>
    <w:div w:id="1430929257">
      <w:bodyDiv w:val="1"/>
      <w:marLeft w:val="0"/>
      <w:marRight w:val="0"/>
      <w:marTop w:val="0"/>
      <w:marBottom w:val="0"/>
      <w:divBdr>
        <w:top w:val="none" w:sz="0" w:space="0" w:color="auto"/>
        <w:left w:val="none" w:sz="0" w:space="0" w:color="auto"/>
        <w:bottom w:val="none" w:sz="0" w:space="0" w:color="auto"/>
        <w:right w:val="none" w:sz="0" w:space="0" w:color="auto"/>
      </w:divBdr>
    </w:div>
    <w:div w:id="1661153837">
      <w:bodyDiv w:val="1"/>
      <w:marLeft w:val="0"/>
      <w:marRight w:val="0"/>
      <w:marTop w:val="0"/>
      <w:marBottom w:val="0"/>
      <w:divBdr>
        <w:top w:val="none" w:sz="0" w:space="0" w:color="auto"/>
        <w:left w:val="none" w:sz="0" w:space="0" w:color="auto"/>
        <w:bottom w:val="none" w:sz="0" w:space="0" w:color="auto"/>
        <w:right w:val="none" w:sz="0" w:space="0" w:color="auto"/>
      </w:divBdr>
    </w:div>
    <w:div w:id="1755083186">
      <w:bodyDiv w:val="1"/>
      <w:marLeft w:val="0"/>
      <w:marRight w:val="0"/>
      <w:marTop w:val="0"/>
      <w:marBottom w:val="0"/>
      <w:divBdr>
        <w:top w:val="none" w:sz="0" w:space="0" w:color="auto"/>
        <w:left w:val="none" w:sz="0" w:space="0" w:color="auto"/>
        <w:bottom w:val="none" w:sz="0" w:space="0" w:color="auto"/>
        <w:right w:val="none" w:sz="0" w:space="0" w:color="auto"/>
      </w:divBdr>
    </w:div>
    <w:div w:id="1785227774">
      <w:bodyDiv w:val="1"/>
      <w:marLeft w:val="0"/>
      <w:marRight w:val="0"/>
      <w:marTop w:val="0"/>
      <w:marBottom w:val="0"/>
      <w:divBdr>
        <w:top w:val="none" w:sz="0" w:space="0" w:color="auto"/>
        <w:left w:val="none" w:sz="0" w:space="0" w:color="auto"/>
        <w:bottom w:val="none" w:sz="0" w:space="0" w:color="auto"/>
        <w:right w:val="none" w:sz="0" w:space="0" w:color="auto"/>
      </w:divBdr>
    </w:div>
    <w:div w:id="1988703640">
      <w:bodyDiv w:val="1"/>
      <w:marLeft w:val="0"/>
      <w:marRight w:val="0"/>
      <w:marTop w:val="0"/>
      <w:marBottom w:val="0"/>
      <w:divBdr>
        <w:top w:val="none" w:sz="0" w:space="0" w:color="auto"/>
        <w:left w:val="none" w:sz="0" w:space="0" w:color="auto"/>
        <w:bottom w:val="none" w:sz="0" w:space="0" w:color="auto"/>
        <w:right w:val="none" w:sz="0" w:space="0" w:color="auto"/>
      </w:divBdr>
    </w:div>
    <w:div w:id="2025664105">
      <w:bodyDiv w:val="1"/>
      <w:marLeft w:val="0"/>
      <w:marRight w:val="0"/>
      <w:marTop w:val="0"/>
      <w:marBottom w:val="0"/>
      <w:divBdr>
        <w:top w:val="none" w:sz="0" w:space="0" w:color="auto"/>
        <w:left w:val="none" w:sz="0" w:space="0" w:color="auto"/>
        <w:bottom w:val="none" w:sz="0" w:space="0" w:color="auto"/>
        <w:right w:val="none" w:sz="0" w:space="0" w:color="auto"/>
      </w:divBdr>
      <w:divsChild>
        <w:div w:id="1078015079">
          <w:marLeft w:val="0"/>
          <w:marRight w:val="0"/>
          <w:marTop w:val="0"/>
          <w:marBottom w:val="0"/>
          <w:divBdr>
            <w:top w:val="single" w:sz="12" w:space="4" w:color="auto"/>
            <w:left w:val="none" w:sz="0" w:space="0" w:color="auto"/>
            <w:bottom w:val="none" w:sz="0" w:space="0" w:color="auto"/>
            <w:right w:val="none" w:sz="0" w:space="0" w:color="auto"/>
          </w:divBdr>
        </w:div>
        <w:div w:id="1829860680">
          <w:marLeft w:val="284"/>
          <w:marRight w:val="0"/>
          <w:marTop w:val="0"/>
          <w:marBottom w:val="0"/>
          <w:divBdr>
            <w:top w:val="single" w:sz="8" w:space="1" w:color="auto"/>
            <w:left w:val="single" w:sz="8" w:space="4" w:color="auto"/>
            <w:bottom w:val="single" w:sz="8" w:space="1" w:color="auto"/>
            <w:right w:val="single" w:sz="8" w:space="4" w:color="auto"/>
          </w:divBdr>
        </w:div>
      </w:divsChild>
    </w:div>
    <w:div w:id="2094348494">
      <w:bodyDiv w:val="1"/>
      <w:marLeft w:val="0"/>
      <w:marRight w:val="0"/>
      <w:marTop w:val="0"/>
      <w:marBottom w:val="0"/>
      <w:divBdr>
        <w:top w:val="none" w:sz="0" w:space="0" w:color="auto"/>
        <w:left w:val="none" w:sz="0" w:space="0" w:color="auto"/>
        <w:bottom w:val="none" w:sz="0" w:space="0" w:color="auto"/>
        <w:right w:val="none" w:sz="0" w:space="0" w:color="auto"/>
      </w:divBdr>
      <w:divsChild>
        <w:div w:id="795950338">
          <w:marLeft w:val="0"/>
          <w:marRight w:val="0"/>
          <w:marTop w:val="0"/>
          <w:marBottom w:val="0"/>
          <w:divBdr>
            <w:top w:val="single" w:sz="12" w:space="3"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5D459-8DBA-4580-9B5D-F082DFF71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 Chairman (Samsung)</cp:lastModifiedBy>
  <cp:revision>2</cp:revision>
  <cp:lastPrinted>1901-01-01T08:00:00Z</cp:lastPrinted>
  <dcterms:created xsi:type="dcterms:W3CDTF">2018-06-16T00:18:00Z</dcterms:created>
  <dcterms:modified xsi:type="dcterms:W3CDTF">2018-06-16T00:18:00Z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