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87" w:rsidRPr="00DB6445" w:rsidRDefault="00152587" w:rsidP="00152587">
      <w:pPr>
        <w:tabs>
          <w:tab w:val="right" w:pos="9639"/>
        </w:tabs>
        <w:rPr>
          <w:rFonts w:ascii="Arial" w:eastAsia="Batang" w:hAnsi="Arial"/>
          <w:b/>
          <w:sz w:val="24"/>
          <w:szCs w:val="24"/>
        </w:rPr>
      </w:pPr>
      <w:r w:rsidRPr="00DB6445">
        <w:rPr>
          <w:rFonts w:ascii="Arial" w:eastAsia="Batang" w:hAnsi="Arial"/>
          <w:b/>
          <w:sz w:val="24"/>
          <w:szCs w:val="24"/>
        </w:rPr>
        <w:t>3GPP TSG SA Meeting #78</w:t>
      </w:r>
      <w:r w:rsidRPr="00DB6445">
        <w:rPr>
          <w:rFonts w:ascii="Arial" w:eastAsia="Batang" w:hAnsi="Arial"/>
          <w:sz w:val="24"/>
          <w:szCs w:val="24"/>
        </w:rPr>
        <w:tab/>
      </w:r>
      <w:r w:rsidRPr="00DB6445">
        <w:rPr>
          <w:rFonts w:ascii="Arial" w:eastAsia="Batang" w:hAnsi="Arial"/>
          <w:b/>
          <w:sz w:val="24"/>
          <w:szCs w:val="24"/>
        </w:rPr>
        <w:t>TD SP-170</w:t>
      </w:r>
      <w:r w:rsidR="007A2BD7" w:rsidRPr="007A2BD7">
        <w:rPr>
          <w:rFonts w:ascii="Arial" w:eastAsia="Batang" w:hAnsi="Arial"/>
          <w:b/>
          <w:sz w:val="24"/>
          <w:szCs w:val="24"/>
        </w:rPr>
        <w:t>837</w:t>
      </w:r>
    </w:p>
    <w:p w:rsidR="00152587" w:rsidRPr="00DB6445" w:rsidRDefault="00152587" w:rsidP="0015258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Lisbon, PT, 20-22 December 2017</w:t>
      </w:r>
      <w:r>
        <w:rPr>
          <w:b/>
          <w:i/>
          <w:sz w:val="24"/>
          <w:szCs w:val="24"/>
          <w:lang w:val="en-US"/>
        </w:rPr>
        <w:tab/>
      </w:r>
      <w:r w:rsidRPr="00DB6445">
        <w:rPr>
          <w:sz w:val="24"/>
          <w:szCs w:val="24"/>
          <w:lang w:val="en-US"/>
        </w:rPr>
        <w:t>Agenda Item:</w:t>
      </w:r>
      <w:r>
        <w:rPr>
          <w:sz w:val="24"/>
          <w:szCs w:val="24"/>
          <w:lang w:val="en-US"/>
        </w:rPr>
        <w:t xml:space="preserve"> 19</w:t>
      </w:r>
    </w:p>
    <w:p w:rsidR="00152587" w:rsidRPr="00152587" w:rsidRDefault="00152587" w:rsidP="0079239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792392" w:rsidRPr="00BA3A53" w:rsidRDefault="00792392" w:rsidP="0079239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SA WG4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S4-170</w:t>
      </w:r>
      <w:r w:rsidR="00481925">
        <w:rPr>
          <w:b/>
          <w:noProof/>
          <w:sz w:val="28"/>
        </w:rPr>
        <w:t>9</w:t>
      </w:r>
      <w:r w:rsidR="00880B76">
        <w:rPr>
          <w:b/>
          <w:noProof/>
          <w:sz w:val="28"/>
        </w:rPr>
        <w:t>90</w:t>
      </w:r>
    </w:p>
    <w:p w:rsidR="00792392" w:rsidRDefault="00792392" w:rsidP="0079239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Belgrade, Serbia, 9-13 October 2017                                              </w:t>
      </w:r>
      <w:r w:rsidR="00880B76">
        <w:rPr>
          <w:b/>
          <w:noProof/>
          <w:sz w:val="24"/>
        </w:rPr>
        <w:t>revision of S4-170963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92392" w:rsidRPr="003D4506" w:rsidRDefault="00792392" w:rsidP="007923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 xml:space="preserve">Intel, China Mobile Com. Corporation, </w:t>
      </w:r>
      <w:r w:rsidRPr="00A646B8">
        <w:rPr>
          <w:rFonts w:ascii="Arial" w:hAnsi="Arial" w:cs="Arial"/>
          <w:b/>
          <w:lang w:val="it-IT" w:eastAsia="ko-KR"/>
        </w:rPr>
        <w:t xml:space="preserve">Huawei Technologies Co Ltd, </w:t>
      </w:r>
      <w:r w:rsidRPr="00A646B8">
        <w:rPr>
          <w:rFonts w:ascii="Arial" w:hAnsi="Arial" w:cs="Arial"/>
          <w:b/>
        </w:rPr>
        <w:t>HiSilicon Technologies Co. Ltd</w:t>
      </w:r>
      <w:r w:rsidR="00F41A3E">
        <w:rPr>
          <w:rFonts w:ascii="Arial" w:hAnsi="Arial" w:cs="Arial"/>
          <w:b/>
        </w:rPr>
        <w:t>, Qualcomm Incorporated</w:t>
      </w:r>
      <w:r w:rsidR="00BD4A96">
        <w:rPr>
          <w:rFonts w:ascii="Arial" w:hAnsi="Arial" w:cs="Arial"/>
          <w:b/>
        </w:rPr>
        <w:t xml:space="preserve">, </w:t>
      </w:r>
      <w:r w:rsidR="00BD4A96" w:rsidRPr="00B1212C">
        <w:rPr>
          <w:rFonts w:ascii="Arial" w:eastAsia="Batang" w:hAnsi="Arial"/>
          <w:b/>
          <w:lang w:val="en-US" w:eastAsia="zh-CN"/>
        </w:rPr>
        <w:t>Samsung Electronics Co., Ltd</w:t>
      </w:r>
      <w:r w:rsidR="00880B76">
        <w:rPr>
          <w:rFonts w:ascii="Arial" w:eastAsia="Batang" w:hAnsi="Arial"/>
          <w:b/>
          <w:lang w:val="en-US" w:eastAsia="zh-CN"/>
        </w:rPr>
        <w:t>, ORANGE</w:t>
      </w:r>
    </w:p>
    <w:p w:rsidR="00792392" w:rsidRPr="006E5DD5" w:rsidRDefault="00792392" w:rsidP="007923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Study Item on “Media Handling Aspects of RAN Delay Budget Reporting in MTSI”</w:t>
      </w:r>
    </w:p>
    <w:p w:rsidR="00792392" w:rsidRPr="006E5DD5" w:rsidRDefault="00792392" w:rsidP="0079239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:rsidR="00792392" w:rsidRPr="006E5DD5" w:rsidRDefault="00792392" w:rsidP="0079239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11.11, 19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792392">
        <w:t xml:space="preserve"> </w:t>
      </w:r>
      <w:r w:rsidR="00152587">
        <w:t xml:space="preserve">New </w:t>
      </w:r>
      <w:r w:rsidR="00792392">
        <w:t xml:space="preserve">Study </w:t>
      </w:r>
      <w:r w:rsidR="00152587">
        <w:t xml:space="preserve">Item </w:t>
      </w:r>
      <w:r w:rsidR="00792392">
        <w:t>on Media Handling Aspects of RAN Delay Budget Reporting in MTSI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92392">
        <w:t>FS_E2E_DELAY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64C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64C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64C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64C9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64C9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664C9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664C9F" w:rsidRDefault="004876B9" w:rsidP="00664C9F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664C9F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392" w:rsidTr="00A36378">
        <w:tc>
          <w:tcPr>
            <w:tcW w:w="1101" w:type="dxa"/>
          </w:tcPr>
          <w:p w:rsidR="00792392" w:rsidRPr="00624061" w:rsidRDefault="00792392" w:rsidP="00792392">
            <w:pPr>
              <w:pStyle w:val="TAL"/>
            </w:pPr>
            <w:r>
              <w:t>7300</w:t>
            </w:r>
            <w:r w:rsidRPr="00624061">
              <w:t>78</w:t>
            </w:r>
          </w:p>
        </w:tc>
        <w:tc>
          <w:tcPr>
            <w:tcW w:w="3969" w:type="dxa"/>
          </w:tcPr>
          <w:p w:rsidR="00792392" w:rsidRPr="00624061" w:rsidRDefault="00792392" w:rsidP="00792392">
            <w:pPr>
              <w:pStyle w:val="TAL"/>
            </w:pPr>
            <w:r w:rsidRPr="00624061">
              <w:rPr>
                <w:noProof/>
                <w:lang w:val="en-US"/>
              </w:rPr>
              <w:t>Voice and Video Enhancement f</w:t>
            </w:r>
            <w:r>
              <w:rPr>
                <w:noProof/>
                <w:lang w:val="en-US"/>
              </w:rPr>
              <w:t>or LTE (LTE_VoLTE_ViLTE_enh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</w:tcPr>
          <w:p w:rsidR="00792392" w:rsidRPr="00624061" w:rsidRDefault="00792392" w:rsidP="00792392">
            <w:pPr>
              <w:pStyle w:val="TAL"/>
            </w:pPr>
            <w:r>
              <w:t>This Rel-14 work item s</w:t>
            </w:r>
            <w:r w:rsidRPr="00624061">
              <w:t>pecifi</w:t>
            </w:r>
            <w:r>
              <w:t xml:space="preserve">es VoLTE/ViLTE enhancement features including RAN-assisted codec adaptation, VoLTE/ViLTE signalling optimization and VoLTE/ViLTE quality/coverage enhancement. One of its building blocks, RAN2-led </w:t>
            </w:r>
            <w:r>
              <w:rPr>
                <w:noProof/>
                <w:lang w:val="en-US"/>
              </w:rPr>
              <w:t xml:space="preserve">LTE_VoLTE_ViLTE_enh-Core, specifies RAN-level aspects of these enhancements and the impacted RAN specs are </w:t>
            </w:r>
            <w:r w:rsidRPr="00525F06">
              <w:rPr>
                <w:noProof/>
                <w:lang w:val="en-US"/>
              </w:rPr>
              <w:t xml:space="preserve">TS 36.331, </w:t>
            </w:r>
            <w:r>
              <w:rPr>
                <w:noProof/>
                <w:lang w:val="en-US"/>
              </w:rPr>
              <w:t xml:space="preserve">TS </w:t>
            </w:r>
            <w:r w:rsidRPr="00525F06">
              <w:rPr>
                <w:noProof/>
                <w:lang w:val="en-US"/>
              </w:rPr>
              <w:t xml:space="preserve">36.306, </w:t>
            </w:r>
            <w:r>
              <w:rPr>
                <w:noProof/>
                <w:lang w:val="en-US"/>
              </w:rPr>
              <w:t xml:space="preserve">TS </w:t>
            </w:r>
            <w:r w:rsidRPr="00525F06">
              <w:rPr>
                <w:noProof/>
                <w:lang w:val="en-US"/>
              </w:rPr>
              <w:t xml:space="preserve">36.300, </w:t>
            </w:r>
            <w:r>
              <w:rPr>
                <w:noProof/>
                <w:lang w:val="en-US"/>
              </w:rPr>
              <w:t xml:space="preserve">TS </w:t>
            </w:r>
            <w:r w:rsidRPr="00525F06">
              <w:rPr>
                <w:noProof/>
                <w:lang w:val="en-US"/>
              </w:rPr>
              <w:t xml:space="preserve">36.321, </w:t>
            </w:r>
            <w:r>
              <w:rPr>
                <w:noProof/>
                <w:lang w:val="en-US"/>
              </w:rPr>
              <w:t xml:space="preserve">TS </w:t>
            </w:r>
            <w:r w:rsidRPr="00525F06">
              <w:rPr>
                <w:noProof/>
                <w:lang w:val="en-US"/>
              </w:rPr>
              <w:t xml:space="preserve">36.211, </w:t>
            </w:r>
            <w:r>
              <w:rPr>
                <w:noProof/>
                <w:lang w:val="en-US"/>
              </w:rPr>
              <w:t xml:space="preserve">TS </w:t>
            </w:r>
            <w:r w:rsidRPr="00525F06">
              <w:rPr>
                <w:noProof/>
                <w:lang w:val="en-US"/>
              </w:rPr>
              <w:t>36.212 and</w:t>
            </w:r>
            <w:r>
              <w:rPr>
                <w:noProof/>
                <w:lang w:val="en-US"/>
              </w:rPr>
              <w:t xml:space="preserve"> TS</w:t>
            </w:r>
            <w:r w:rsidRPr="00525F06">
              <w:rPr>
                <w:noProof/>
                <w:lang w:val="en-US"/>
              </w:rPr>
              <w:t xml:space="preserve"> 36.213</w:t>
            </w:r>
            <w:r>
              <w:rPr>
                <w:noProof/>
                <w:lang w:val="en-US"/>
              </w:rPr>
              <w:t>. The other building block, SA4-led LTE_VoLTE_ViLTE_enh-S4 specified media handling aspects of RAN-assisted codec adaptation in TS 26.114.</w:t>
            </w:r>
            <w: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92392" w:rsidRDefault="00792392" w:rsidP="00792392">
      <w:pPr>
        <w:pStyle w:val="NO"/>
        <w:ind w:left="0" w:firstLine="0"/>
      </w:pPr>
      <w:r>
        <w:t>The RAN2-led Rel-14 work item “</w:t>
      </w:r>
      <w:r>
        <w:rPr>
          <w:rFonts w:eastAsia="SimSun"/>
          <w:lang w:eastAsia="zh-CN"/>
        </w:rPr>
        <w:t>Voice and Video E</w:t>
      </w:r>
      <w:r w:rsidRPr="008D2307">
        <w:rPr>
          <w:rFonts w:eastAsia="SimSun"/>
          <w:lang w:eastAsia="zh-CN"/>
        </w:rPr>
        <w:t>nhancement for LTE</w:t>
      </w:r>
      <w:r>
        <w:rPr>
          <w:rFonts w:eastAsia="SimSun"/>
          <w:lang w:eastAsia="zh-CN"/>
        </w:rPr>
        <w:t xml:space="preserve">” (LTE_VoLTE_ViLTE_enh) </w:t>
      </w:r>
      <w:r>
        <w:t>s</w:t>
      </w:r>
      <w:r w:rsidRPr="00624061">
        <w:t>pecifi</w:t>
      </w:r>
      <w:r>
        <w:t xml:space="preserve">ed several VoLTE/ViLTE enhancement features including RAN-assisted codec adaptation, VoLTE/ViLTE signalling optimization and VoLTE/ViLTE quality/coverage enhancement. In SA4, Rel-14 item “RAN-Assisted Codec Adaptation in MTSI” (LTE_VoLTE_ViLTE_enh-S4) was completed as a building block of the LTE_VoLTE_ViLTE_enh feature to specify media handling aspects of RAN-assisted codec adaptation functionality in TS 26.114. </w:t>
      </w:r>
    </w:p>
    <w:p w:rsidR="00792392" w:rsidRPr="00CA2B24" w:rsidRDefault="00792392" w:rsidP="00792392">
      <w:pPr>
        <w:pStyle w:val="NO"/>
        <w:ind w:left="0" w:firstLine="0"/>
      </w:pPr>
      <w:r>
        <w:t xml:space="preserve">In addition to RAN-assisted codec adaptation, another important feature specified by RAN2 as part of LTE_VoLTE_ViLTE_enh feature is VoLTE quality/coverage enhancement functionality. As part of this functionality, RAN2 specifies a delay budget reporting framework so that the </w:t>
      </w:r>
      <w:r>
        <w:rPr>
          <w:rFonts w:eastAsia="SimSun" w:hint="eastAsia"/>
          <w:lang w:eastAsia="zh-CN"/>
        </w:rPr>
        <w:t>VoLTE coverage can be effectively enhanced by relaxing the air interface delay budget.</w:t>
      </w:r>
      <w:r w:rsidRPr="0021476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uses RRC signalling to report the delay budget information. Based on the reported delay </w:t>
      </w:r>
      <w:r>
        <w:rPr>
          <w:rFonts w:eastAsia="SimSun"/>
          <w:lang w:eastAsia="zh-CN"/>
        </w:rPr>
        <w:t>budget</w:t>
      </w:r>
      <w:r>
        <w:rPr>
          <w:rFonts w:eastAsia="SimSun" w:hint="eastAsia"/>
          <w:lang w:eastAsia="zh-CN"/>
        </w:rPr>
        <w:t xml:space="preserve"> information, when a UE is in good coverage,</w:t>
      </w:r>
      <w:r w:rsidRPr="00214769">
        <w:rPr>
          <w:rFonts w:eastAsia="SimSun"/>
          <w:lang w:eastAsia="zh-CN"/>
        </w:rPr>
        <w:t xml:space="preserve"> the eNB can configure longer DRX for power saving purpose or the eNB can re</w:t>
      </w:r>
      <w:r>
        <w:rPr>
          <w:rFonts w:eastAsia="SimSun"/>
          <w:lang w:eastAsia="zh-CN"/>
        </w:rPr>
        <w:t>duce DRX cycle in order to help the remote UE and reduce end-to-end delay and jitter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since </w:t>
      </w:r>
      <w:r>
        <w:rPr>
          <w:rFonts w:eastAsia="SimSun" w:hint="eastAsia"/>
          <w:lang w:eastAsia="zh-CN"/>
        </w:rPr>
        <w:t xml:space="preserve">when the </w:t>
      </w:r>
      <w:r>
        <w:rPr>
          <w:rFonts w:eastAsia="SimSun"/>
          <w:lang w:eastAsia="zh-CN"/>
        </w:rPr>
        <w:t xml:space="preserve">remote </w:t>
      </w:r>
      <w:r>
        <w:rPr>
          <w:rFonts w:eastAsia="SimSun" w:hint="eastAsia"/>
          <w:lang w:eastAsia="zh-CN"/>
        </w:rPr>
        <w:t xml:space="preserve">UE is in bad coverage, </w:t>
      </w:r>
      <w:r w:rsidRPr="00214769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local </w:t>
      </w:r>
      <w:r w:rsidRPr="00214769">
        <w:rPr>
          <w:rFonts w:eastAsia="SimSun"/>
          <w:lang w:eastAsia="zh-CN"/>
        </w:rPr>
        <w:t xml:space="preserve">eNB </w:t>
      </w:r>
      <w:r>
        <w:rPr>
          <w:rFonts w:eastAsia="SimSun"/>
          <w:lang w:eastAsia="zh-CN"/>
        </w:rPr>
        <w:t xml:space="preserve">of that remote UE </w:t>
      </w:r>
      <w:r w:rsidRPr="00214769">
        <w:rPr>
          <w:rFonts w:eastAsia="SimSun"/>
          <w:lang w:eastAsia="zh-CN"/>
        </w:rPr>
        <w:t>can increase the retransmission times in order to reduce the packet loss</w:t>
      </w:r>
      <w:r>
        <w:rPr>
          <w:rFonts w:eastAsia="SimSun" w:hint="eastAsia"/>
          <w:lang w:eastAsia="zh-CN"/>
        </w:rPr>
        <w:t>.</w:t>
      </w:r>
    </w:p>
    <w:p w:rsidR="00792392" w:rsidRDefault="00792392" w:rsidP="00792392">
      <w:pPr>
        <w:pStyle w:val="NO"/>
        <w:ind w:left="0" w:firstLine="0"/>
      </w:pPr>
      <w:r>
        <w:t>There are several SA4-level gaps associated with the use of the RAN delay budget reporting framework requiring suitable media handling recommendations, in particular:</w:t>
      </w:r>
    </w:p>
    <w:p w:rsidR="00792392" w:rsidRPr="004A2196" w:rsidRDefault="00792392" w:rsidP="00792392">
      <w:pPr>
        <w:pStyle w:val="NO"/>
        <w:numPr>
          <w:ilvl w:val="0"/>
          <w:numId w:val="10"/>
        </w:numPr>
        <w:rPr>
          <w:lang w:val="en-US"/>
        </w:rPr>
      </w:pPr>
      <w:r>
        <w:t>What are the</w:t>
      </w:r>
      <w:r w:rsidRPr="004A2196">
        <w:t xml:space="preserve"> available mechanisms in TS 26.114 </w:t>
      </w:r>
      <w:r>
        <w:t xml:space="preserve">and kinds of information available at the MTSI client that can help </w:t>
      </w:r>
      <w:r w:rsidRPr="004A2196">
        <w:t>to</w:t>
      </w:r>
      <w:r>
        <w:t>wards determining</w:t>
      </w:r>
      <w:r w:rsidRPr="004A2196">
        <w:t xml:space="preserve"> </w:t>
      </w:r>
      <w:r>
        <w:t xml:space="preserve">the </w:t>
      </w:r>
      <w:r w:rsidRPr="004A2196">
        <w:t xml:space="preserve">content of </w:t>
      </w:r>
      <w:r w:rsidRPr="004A2196">
        <w:rPr>
          <w:i/>
          <w:iCs/>
        </w:rPr>
        <w:t>UEAssistanceInformation</w:t>
      </w:r>
      <w:r w:rsidRPr="004A2196">
        <w:t xml:space="preserve"> messages with delay budget report information? </w:t>
      </w:r>
    </w:p>
    <w:p w:rsidR="00792392" w:rsidRPr="00837B6B" w:rsidRDefault="00792392" w:rsidP="00792392">
      <w:pPr>
        <w:pStyle w:val="NO"/>
        <w:numPr>
          <w:ilvl w:val="0"/>
          <w:numId w:val="10"/>
        </w:numPr>
        <w:rPr>
          <w:lang w:val="en-US"/>
        </w:rPr>
      </w:pPr>
      <w:r w:rsidRPr="004A2196">
        <w:t>How does RAN-level delay budget reporting work in conjunction with existing media adaptation behavio</w:t>
      </w:r>
      <w:r>
        <w:t>u</w:t>
      </w:r>
      <w:r w:rsidRPr="004A2196">
        <w:t>rs in TS 26.114 fo</w:t>
      </w:r>
      <w:r>
        <w:t xml:space="preserve">r MTSI in an end-to-end fashion? </w:t>
      </w:r>
    </w:p>
    <w:p w:rsidR="00792392" w:rsidRPr="004E3E6C" w:rsidRDefault="00792392" w:rsidP="00792392">
      <w:pPr>
        <w:pStyle w:val="NO"/>
        <w:numPr>
          <w:ilvl w:val="0"/>
          <w:numId w:val="10"/>
        </w:numPr>
        <w:rPr>
          <w:lang w:val="en-US"/>
        </w:rPr>
      </w:pPr>
      <w:r>
        <w:t>What kind of MTSI signalling (if any) at the media handling level would facilitate a more coordinated and optimized use of the RAN delay budget reporting framework in an end-to-end fashion?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2392" w:rsidRDefault="00792392" w:rsidP="00792392">
      <w:pPr>
        <w:tabs>
          <w:tab w:val="right" w:pos="9639"/>
        </w:tabs>
        <w:ind w:right="43"/>
      </w:pPr>
      <w:r>
        <w:t xml:space="preserve">The objective of this Study Item is to study the media handling aspects of RAN delay budget reporting framework in MTSI. More specifically, the following areas will be investigated: </w:t>
      </w:r>
    </w:p>
    <w:p w:rsidR="00792392" w:rsidRPr="004A2196" w:rsidRDefault="00792392" w:rsidP="00792392">
      <w:pPr>
        <w:pStyle w:val="NO"/>
        <w:numPr>
          <w:ilvl w:val="0"/>
          <w:numId w:val="12"/>
        </w:numPr>
        <w:rPr>
          <w:lang w:val="en-US"/>
        </w:rPr>
      </w:pPr>
      <w:r>
        <w:t>Potential recommendations for MTSI on the</w:t>
      </w:r>
      <w:r w:rsidRPr="004A2196">
        <w:t xml:space="preserve"> available mechanisms in TS 26.114 to determine </w:t>
      </w:r>
      <w:r>
        <w:t xml:space="preserve">the </w:t>
      </w:r>
      <w:r w:rsidRPr="004A2196">
        <w:t xml:space="preserve">content of </w:t>
      </w:r>
      <w:r w:rsidRPr="004A2196">
        <w:rPr>
          <w:i/>
          <w:iCs/>
        </w:rPr>
        <w:t>UEAssistanceInformation</w:t>
      </w:r>
      <w:r w:rsidRPr="004A2196">
        <w:t xml:space="preserve"> messages with </w:t>
      </w:r>
      <w:r>
        <w:t>delay budget report information including:</w:t>
      </w:r>
      <w:r w:rsidRPr="004A2196">
        <w:t xml:space="preserve"> </w:t>
      </w:r>
    </w:p>
    <w:p w:rsidR="0087232A" w:rsidRDefault="00792392" w:rsidP="0087232A">
      <w:pPr>
        <w:pStyle w:val="NO"/>
        <w:numPr>
          <w:ilvl w:val="0"/>
          <w:numId w:val="13"/>
        </w:numPr>
      </w:pPr>
      <w:r>
        <w:t xml:space="preserve">Relevant </w:t>
      </w:r>
      <w:r w:rsidRPr="004A2196">
        <w:t>en</w:t>
      </w:r>
      <w:r>
        <w:t xml:space="preserve">d-to-end quality metrics </w:t>
      </w:r>
      <w:r w:rsidR="00046BC3">
        <w:t>(</w:t>
      </w:r>
      <w:r w:rsidR="00CF7EFB">
        <w:t>e.g., round-trip time (RTT), p</w:t>
      </w:r>
      <w:r w:rsidR="00CF7EFB" w:rsidRPr="004A2196">
        <w:t>acket los</w:t>
      </w:r>
      <w:r w:rsidR="00CF7EFB">
        <w:t xml:space="preserve">s ratio (PLR), jitter, etc.) </w:t>
      </w:r>
      <w:r>
        <w:t xml:space="preserve">in MTSI </w:t>
      </w:r>
      <w:r w:rsidR="007B22A0">
        <w:t>and other relevant information</w:t>
      </w:r>
      <w:r w:rsidR="00CF7EFB">
        <w:t xml:space="preserve"> that can be </w:t>
      </w:r>
      <w:r w:rsidRPr="004A2196">
        <w:t>use</w:t>
      </w:r>
      <w:r>
        <w:t>d</w:t>
      </w:r>
      <w:r w:rsidRPr="004A2196">
        <w:t xml:space="preserve"> to trigger </w:t>
      </w:r>
      <w:r w:rsidRPr="00CF7EFB">
        <w:rPr>
          <w:i/>
          <w:iCs/>
        </w:rPr>
        <w:t>UEAssistanceInformation</w:t>
      </w:r>
      <w:r>
        <w:t xml:space="preserve"> messages</w:t>
      </w:r>
      <w:r w:rsidR="0087232A">
        <w:t xml:space="preserve">. </w:t>
      </w:r>
    </w:p>
    <w:p w:rsidR="00792392" w:rsidRPr="00CF7EFB" w:rsidRDefault="00792392" w:rsidP="0087232A">
      <w:pPr>
        <w:pStyle w:val="NO"/>
        <w:numPr>
          <w:ilvl w:val="0"/>
          <w:numId w:val="13"/>
        </w:numPr>
        <w:rPr>
          <w:lang w:val="en-US"/>
        </w:rPr>
      </w:pPr>
      <w:r>
        <w:t>Suitable conditions on the</w:t>
      </w:r>
      <w:r w:rsidRPr="004A2196">
        <w:t xml:space="preserve"> </w:t>
      </w:r>
      <w:r>
        <w:t xml:space="preserve">end-to-end delay and jitter </w:t>
      </w:r>
      <w:r w:rsidRPr="004A2196">
        <w:t xml:space="preserve">to determine </w:t>
      </w:r>
    </w:p>
    <w:p w:rsidR="00792392" w:rsidRPr="00FF0C09" w:rsidRDefault="00792392" w:rsidP="00792392">
      <w:pPr>
        <w:pStyle w:val="NO"/>
        <w:numPr>
          <w:ilvl w:val="2"/>
          <w:numId w:val="11"/>
        </w:numPr>
        <w:rPr>
          <w:lang w:val="en-US"/>
        </w:rPr>
      </w:pPr>
      <w:r w:rsidRPr="004A2196">
        <w:t xml:space="preserve">if UE should send </w:t>
      </w:r>
      <w:r w:rsidRPr="00FF0C09">
        <w:rPr>
          <w:i/>
          <w:iCs/>
        </w:rPr>
        <w:t>UEAssistanceInformation</w:t>
      </w:r>
      <w:r>
        <w:t xml:space="preserve"> with delay budget report information, e.g., suitable RTT thresholds (i.e., with RTT determined </w:t>
      </w:r>
      <w:r w:rsidRPr="004A2196">
        <w:t>by using RT</w:t>
      </w:r>
      <w:r>
        <w:t xml:space="preserve">CP sender and receiver reports), </w:t>
      </w:r>
    </w:p>
    <w:p w:rsidR="00792392" w:rsidRPr="00FF0C09" w:rsidRDefault="00792392" w:rsidP="00792392">
      <w:pPr>
        <w:pStyle w:val="NO"/>
        <w:numPr>
          <w:ilvl w:val="2"/>
          <w:numId w:val="11"/>
        </w:numPr>
        <w:rPr>
          <w:lang w:val="en-US"/>
        </w:rPr>
      </w:pPr>
      <w:r>
        <w:t xml:space="preserve">what kind of information may be included in the </w:t>
      </w:r>
      <w:r w:rsidRPr="00FF0C09">
        <w:rPr>
          <w:i/>
          <w:iCs/>
        </w:rPr>
        <w:t>UEAssistanceInformation</w:t>
      </w:r>
      <w:r w:rsidRPr="004A2196">
        <w:t xml:space="preserve"> messages </w:t>
      </w:r>
      <w:r>
        <w:t>based on the available information at the MTSI client</w:t>
      </w:r>
    </w:p>
    <w:p w:rsidR="00792392" w:rsidRPr="004A2196" w:rsidRDefault="00792392" w:rsidP="00792392">
      <w:pPr>
        <w:pStyle w:val="NO"/>
        <w:numPr>
          <w:ilvl w:val="0"/>
          <w:numId w:val="12"/>
        </w:numPr>
        <w:rPr>
          <w:lang w:val="en-US"/>
        </w:rPr>
      </w:pPr>
      <w:r>
        <w:t>Potential recommendations on how</w:t>
      </w:r>
      <w:r w:rsidRPr="004A2196">
        <w:t xml:space="preserve"> RAN-level delay budget reporting work</w:t>
      </w:r>
      <w:r>
        <w:t>s</w:t>
      </w:r>
      <w:r w:rsidRPr="004A2196">
        <w:t xml:space="preserve"> in conjunction with existing media adaptation behavio</w:t>
      </w:r>
      <w:r>
        <w:t>urs in TS 26.114 for MTSI.</w:t>
      </w:r>
      <w:r w:rsidRPr="004A2196">
        <w:t xml:space="preserve"> Relevant media adaptation behavio</w:t>
      </w:r>
      <w:r>
        <w:t>u</w:t>
      </w:r>
      <w:r w:rsidRPr="004A2196">
        <w:t>rs include</w:t>
      </w:r>
    </w:p>
    <w:p w:rsidR="00792392" w:rsidRPr="004A2196" w:rsidRDefault="00792392" w:rsidP="00792392">
      <w:pPr>
        <w:pStyle w:val="NO"/>
        <w:numPr>
          <w:ilvl w:val="1"/>
          <w:numId w:val="11"/>
        </w:numPr>
        <w:rPr>
          <w:lang w:val="en-US"/>
        </w:rPr>
      </w:pPr>
      <w:r w:rsidRPr="004A2196">
        <w:lastRenderedPageBreak/>
        <w:t>Codec rate or mode adaptation via CMR / RTCP-APP messages (for voice)</w:t>
      </w:r>
    </w:p>
    <w:p w:rsidR="00792392" w:rsidRPr="004A2196" w:rsidRDefault="00792392" w:rsidP="00792392">
      <w:pPr>
        <w:pStyle w:val="NO"/>
        <w:numPr>
          <w:ilvl w:val="1"/>
          <w:numId w:val="11"/>
        </w:numPr>
        <w:rPr>
          <w:lang w:val="en-US"/>
        </w:rPr>
      </w:pPr>
      <w:r w:rsidRPr="004A2196">
        <w:t>Use of application layer redundancy for increased reliability</w:t>
      </w:r>
    </w:p>
    <w:p w:rsidR="00792392" w:rsidRPr="004A2196" w:rsidRDefault="00792392" w:rsidP="00792392">
      <w:pPr>
        <w:pStyle w:val="NO"/>
        <w:numPr>
          <w:ilvl w:val="1"/>
          <w:numId w:val="11"/>
        </w:numPr>
        <w:rPr>
          <w:lang w:val="en-US"/>
        </w:rPr>
      </w:pPr>
      <w:r w:rsidRPr="004A2196">
        <w:t xml:space="preserve">Use of packet bundling (a.k.a. frame aggregation)  </w:t>
      </w:r>
    </w:p>
    <w:p w:rsidR="00792392" w:rsidRDefault="00792392" w:rsidP="00792392">
      <w:pPr>
        <w:pStyle w:val="NO"/>
        <w:ind w:left="720" w:firstLine="0"/>
      </w:pPr>
      <w:r w:rsidRPr="004A2196">
        <w:t xml:space="preserve">In particular, </w:t>
      </w:r>
      <w:r>
        <w:t xml:space="preserve">potential recommendations will be studied </w:t>
      </w:r>
      <w:r w:rsidRPr="004A2196">
        <w:t xml:space="preserve">on when </w:t>
      </w:r>
      <w:r>
        <w:t xml:space="preserve">and how </w:t>
      </w:r>
      <w:r w:rsidRPr="004A2196">
        <w:t>the UE</w:t>
      </w:r>
      <w:r>
        <w:t>s</w:t>
      </w:r>
      <w:r w:rsidRPr="004A2196">
        <w:t xml:space="preserve"> should use RAN-based delay adjustment mechanisms</w:t>
      </w:r>
      <w:r>
        <w:t xml:space="preserve"> in an end-to-end fashion</w:t>
      </w:r>
      <w:r w:rsidRPr="004A2196">
        <w:t xml:space="preserve"> </w:t>
      </w:r>
      <w:r>
        <w:t xml:space="preserve">also accounting for local radio conditions </w:t>
      </w:r>
      <w:r w:rsidRPr="004A2196">
        <w:t>and when UE</w:t>
      </w:r>
      <w:r>
        <w:t>s may</w:t>
      </w:r>
      <w:r w:rsidRPr="004A2196">
        <w:t xml:space="preserve"> activate and perform media-layer adaptation</w:t>
      </w:r>
      <w:r w:rsidR="00CF7EFB">
        <w:t>.  Recommendations wi</w:t>
      </w:r>
      <w:r w:rsidR="00046BC3">
        <w:t>ll also enable implemen</w:t>
      </w:r>
      <w:r w:rsidR="00CF7EFB">
        <w:t xml:space="preserve">tations </w:t>
      </w:r>
      <w:r w:rsidR="00046BC3">
        <w:t xml:space="preserve">to optimize how relevant metrics and information, including non-standardized information, are used by the UE.  </w:t>
      </w:r>
    </w:p>
    <w:p w:rsidR="00792392" w:rsidRPr="005F778D" w:rsidRDefault="00792392" w:rsidP="00792392">
      <w:pPr>
        <w:numPr>
          <w:ilvl w:val="0"/>
          <w:numId w:val="12"/>
        </w:numPr>
      </w:pPr>
      <w:r>
        <w:t>Identification and definition of potential new formats for real-time signalling of delay budget information from an MTSI receiver to an MTSI sender during a multimedia telephony session will also be considered.</w:t>
      </w:r>
    </w:p>
    <w:p w:rsidR="00792392" w:rsidRDefault="00792392" w:rsidP="00792392">
      <w:pPr>
        <w:tabs>
          <w:tab w:val="left" w:pos="709"/>
          <w:tab w:val="right" w:pos="9639"/>
        </w:tabs>
        <w:ind w:right="43"/>
      </w:pPr>
      <w:r>
        <w:t>The gap analysis</w:t>
      </w:r>
      <w:r w:rsidRPr="00D639F6">
        <w:t xml:space="preserve"> and </w:t>
      </w:r>
      <w:r w:rsidRPr="007E279D">
        <w:t>conclusions</w:t>
      </w:r>
      <w:r>
        <w:t xml:space="preserve"> for the considered MTSI enhancements</w:t>
      </w:r>
      <w:r w:rsidRPr="00D639F6">
        <w:t xml:space="preserve"> will be documented in a </w:t>
      </w:r>
      <w:r w:rsidRPr="007E279D">
        <w:t>Technical Re</w:t>
      </w:r>
      <w:r>
        <w:t>port</w:t>
      </w:r>
      <w:r w:rsidRPr="007E279D">
        <w:t>.</w:t>
      </w:r>
      <w:r w:rsidR="001D1C8F">
        <w:t xml:space="preserve"> MTSI performance evaluations based on end-to-end metrics such as delay, jitter and packet loss rate </w:t>
      </w:r>
      <w:r w:rsidR="001D1C8F" w:rsidRPr="00043BBE">
        <w:t xml:space="preserve">will be conducted </w:t>
      </w:r>
      <w:r w:rsidR="001D1C8F">
        <w:t xml:space="preserve">in conjunction with RAN-level air interface delay considerations toward </w:t>
      </w:r>
      <w:r w:rsidR="00046BC3">
        <w:t>developing</w:t>
      </w:r>
      <w:r w:rsidR="001D1C8F">
        <w:t xml:space="preserve"> potential recommendations on MTSI for the investigation areas above</w:t>
      </w:r>
      <w:r w:rsidR="00046BC3">
        <w:t>.  R</w:t>
      </w:r>
      <w:r w:rsidRPr="00043BBE">
        <w:t>elated findings will also be documented in the technical report.</w:t>
      </w:r>
      <w:r>
        <w:t xml:space="preserve"> </w:t>
      </w:r>
    </w:p>
    <w:p w:rsidR="00792392" w:rsidRPr="007928AC" w:rsidRDefault="00792392" w:rsidP="00792392">
      <w:pPr>
        <w:tabs>
          <w:tab w:val="left" w:pos="709"/>
          <w:tab w:val="right" w:pos="9639"/>
        </w:tabs>
        <w:ind w:right="43"/>
      </w:pPr>
      <w:r>
        <w:t>Coordination with RAN2 is expected during the cou</w:t>
      </w:r>
      <w:r w:rsidR="00880B76">
        <w:t>rse of this study</w:t>
      </w:r>
      <w:r>
        <w:t>.</w:t>
      </w:r>
    </w:p>
    <w:p w:rsidR="00792392" w:rsidRPr="007928AC" w:rsidRDefault="00792392" w:rsidP="00664C9F">
      <w:pPr>
        <w:tabs>
          <w:tab w:val="left" w:pos="709"/>
          <w:tab w:val="right" w:pos="9639"/>
        </w:tabs>
        <w:ind w:right="43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7"/>
        <w:gridCol w:w="810"/>
        <w:gridCol w:w="2430"/>
        <w:gridCol w:w="1080"/>
        <w:gridCol w:w="1260"/>
        <w:gridCol w:w="251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664C9F">
        <w:tc>
          <w:tcPr>
            <w:tcW w:w="13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150D4" w:rsidRPr="00251D80" w:rsidTr="00664C9F">
        <w:tc>
          <w:tcPr>
            <w:tcW w:w="1317" w:type="dxa"/>
          </w:tcPr>
          <w:p w:rsidR="009150D4" w:rsidRPr="00644A07" w:rsidRDefault="009150D4" w:rsidP="009150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4A07">
              <w:rPr>
                <w:rFonts w:ascii="Arial" w:hAnsi="Arial" w:cs="Arial"/>
                <w:sz w:val="16"/>
                <w:szCs w:val="16"/>
              </w:rPr>
              <w:t>External TR</w:t>
            </w:r>
          </w:p>
        </w:tc>
        <w:tc>
          <w:tcPr>
            <w:tcW w:w="810" w:type="dxa"/>
          </w:tcPr>
          <w:p w:rsidR="009150D4" w:rsidRPr="00644A07" w:rsidRDefault="009150D4" w:rsidP="009150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4A07">
              <w:rPr>
                <w:rFonts w:ascii="Arial" w:hAnsi="Arial" w:cs="Arial"/>
                <w:sz w:val="16"/>
                <w:szCs w:val="16"/>
              </w:rPr>
              <w:t>26.9xy</w:t>
            </w:r>
          </w:p>
        </w:tc>
        <w:tc>
          <w:tcPr>
            <w:tcW w:w="2430" w:type="dxa"/>
          </w:tcPr>
          <w:p w:rsidR="009150D4" w:rsidRPr="00644A07" w:rsidRDefault="009150D4" w:rsidP="009150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44A07">
              <w:rPr>
                <w:rFonts w:ascii="Arial" w:hAnsi="Arial" w:cs="Arial"/>
                <w:sz w:val="16"/>
                <w:szCs w:val="16"/>
              </w:rPr>
              <w:t xml:space="preserve">Study on </w:t>
            </w:r>
            <w:r w:rsidR="00792392" w:rsidRPr="00792392">
              <w:rPr>
                <w:rFonts w:ascii="Arial" w:hAnsi="Arial" w:cs="Arial"/>
                <w:sz w:val="16"/>
                <w:szCs w:val="16"/>
              </w:rPr>
              <w:t>Media Handling Aspects of RAN Delay Budget Reporting in MTSI</w:t>
            </w:r>
          </w:p>
        </w:tc>
        <w:tc>
          <w:tcPr>
            <w:tcW w:w="1080" w:type="dxa"/>
          </w:tcPr>
          <w:p w:rsidR="009150D4" w:rsidRPr="00644A07" w:rsidRDefault="00792392" w:rsidP="009150D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TSG SA#80 (June 2018</w:t>
            </w:r>
            <w:r w:rsidR="009150D4" w:rsidRPr="00644A07">
              <w:rPr>
                <w:rFonts w:eastAsia="SimSun" w:cs="Arial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9150D4" w:rsidRPr="00644A07" w:rsidRDefault="00792392" w:rsidP="009150D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TSG SA#81 (Sep</w:t>
            </w:r>
            <w:r w:rsidR="009150D4" w:rsidRPr="00644A07">
              <w:rPr>
                <w:rFonts w:eastAsia="SimSun" w:cs="Arial"/>
                <w:sz w:val="16"/>
                <w:szCs w:val="16"/>
              </w:rPr>
              <w:t xml:space="preserve"> 2018)</w:t>
            </w:r>
          </w:p>
        </w:tc>
        <w:tc>
          <w:tcPr>
            <w:tcW w:w="2516" w:type="dxa"/>
          </w:tcPr>
          <w:p w:rsidR="009150D4" w:rsidRPr="00644A07" w:rsidRDefault="009150D4" w:rsidP="009150D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:rsidR="00664C9F" w:rsidRDefault="00664C9F" w:rsidP="00944B28">
      <w:pPr>
        <w:pStyle w:val="Heading2"/>
        <w:spacing w:before="0" w:after="0"/>
      </w:pPr>
    </w:p>
    <w:p w:rsidR="00664C9F" w:rsidRDefault="00664C9F" w:rsidP="00944B28">
      <w:pPr>
        <w:pStyle w:val="Heading2"/>
        <w:spacing w:before="0" w:after="0"/>
      </w:pPr>
    </w:p>
    <w:p w:rsidR="00664C9F" w:rsidRDefault="00174617" w:rsidP="00664C9F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64C9F" w:rsidRPr="00664C9F" w:rsidRDefault="00664C9F" w:rsidP="00664C9F">
      <w:pPr>
        <w:spacing w:after="0"/>
      </w:pPr>
    </w:p>
    <w:p w:rsidR="00664C9F" w:rsidRDefault="00664C9F" w:rsidP="00664C9F">
      <w:pPr>
        <w:spacing w:after="0"/>
        <w:ind w:right="-99"/>
      </w:pPr>
      <w:r w:rsidRPr="00664C9F">
        <w:t xml:space="preserve">Rapporteur: Oyman, Ozgur, Company: Intel, email address: </w:t>
      </w:r>
      <w:hyperlink r:id="rId11" w:history="1">
        <w:r w:rsidRPr="00664C9F">
          <w:rPr>
            <w:rStyle w:val="Hyperlink"/>
          </w:rPr>
          <w:t>ozgur.oyman@intel.com</w:t>
        </w:r>
      </w:hyperlink>
      <w:r w:rsidRPr="00664C9F">
        <w:t xml:space="preserve"> </w:t>
      </w:r>
    </w:p>
    <w:p w:rsidR="00664C9F" w:rsidRDefault="00664C9F" w:rsidP="00664C9F">
      <w:pPr>
        <w:spacing w:after="0"/>
        <w:ind w:right="-99"/>
      </w:pPr>
    </w:p>
    <w:p w:rsidR="00664C9F" w:rsidRPr="00664C9F" w:rsidRDefault="00664C9F" w:rsidP="00664C9F">
      <w:pPr>
        <w:spacing w:after="0"/>
        <w:ind w:right="-99"/>
      </w:pPr>
    </w:p>
    <w:p w:rsidR="008A76FD" w:rsidRDefault="00174617" w:rsidP="00F21D5D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557B2E" w:rsidP="00F21D5D">
      <w:pPr>
        <w:spacing w:after="0"/>
        <w:ind w:left="1134" w:right="-96"/>
        <w:rPr>
          <w:i/>
        </w:rPr>
      </w:pPr>
    </w:p>
    <w:p w:rsidR="00664C9F" w:rsidRPr="00664C9F" w:rsidRDefault="005077E5" w:rsidP="00F21D5D">
      <w:pPr>
        <w:spacing w:after="0"/>
        <w:ind w:right="-96"/>
      </w:pPr>
      <w:r>
        <w:t xml:space="preserve">3GPP </w:t>
      </w:r>
      <w:r w:rsidR="00664C9F" w:rsidRPr="00664C9F">
        <w:t>SA4</w:t>
      </w:r>
    </w:p>
    <w:p w:rsidR="00664C9F" w:rsidRPr="00557B2E" w:rsidRDefault="00664C9F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64C9F" w:rsidRDefault="00664C9F" w:rsidP="00BA3A53">
      <w:pPr>
        <w:pStyle w:val="Heading2"/>
        <w:spacing w:before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077E5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77E5" w:rsidRDefault="005077E5" w:rsidP="005077E5">
            <w:pPr>
              <w:pStyle w:val="TAL"/>
            </w:pPr>
            <w:r>
              <w:t>Intel</w:t>
            </w:r>
          </w:p>
        </w:tc>
      </w:tr>
      <w:tr w:rsidR="005077E5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77E5" w:rsidRDefault="00792392" w:rsidP="005077E5">
            <w:pPr>
              <w:pStyle w:val="TAL"/>
            </w:pPr>
            <w:r>
              <w:rPr>
                <w:lang w:eastAsia="ja-JP"/>
              </w:rPr>
              <w:t>China Mobile Com. Corporation</w:t>
            </w:r>
          </w:p>
        </w:tc>
      </w:tr>
      <w:tr w:rsidR="005077E5" w:rsidTr="007D03D2">
        <w:trPr>
          <w:jc w:val="center"/>
        </w:trPr>
        <w:tc>
          <w:tcPr>
            <w:tcW w:w="0" w:type="auto"/>
            <w:shd w:val="clear" w:color="auto" w:fill="auto"/>
          </w:tcPr>
          <w:p w:rsidR="005077E5" w:rsidRPr="00B358FF" w:rsidRDefault="005077E5" w:rsidP="005077E5">
            <w:pPr>
              <w:pStyle w:val="TAL"/>
            </w:pPr>
            <w:r w:rsidRPr="00C74C9B">
              <w:rPr>
                <w:rFonts w:cs="Arial"/>
                <w:lang w:val="it-IT" w:eastAsia="ko-KR"/>
              </w:rPr>
              <w:t>Huawei Technologies Co Ltd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867373" w:rsidP="001C5C86">
            <w:pPr>
              <w:pStyle w:val="TAL"/>
            </w:pPr>
            <w:r>
              <w:t>HiSilicon Technologies Co. Ltd</w:t>
            </w:r>
          </w:p>
        </w:tc>
      </w:tr>
      <w:tr w:rsidR="00F41A3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41A3E" w:rsidRDefault="00F41A3E" w:rsidP="001C5C86">
            <w:pPr>
              <w:pStyle w:val="TAL"/>
            </w:pPr>
            <w:r>
              <w:t>Qualcomm Incorporated</w:t>
            </w:r>
          </w:p>
        </w:tc>
      </w:tr>
      <w:tr w:rsidR="00BD4A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D4A96" w:rsidRPr="00BD4A96" w:rsidRDefault="00BD4A96" w:rsidP="001C5C86">
            <w:pPr>
              <w:pStyle w:val="TAL"/>
            </w:pPr>
            <w:r w:rsidRPr="00BD4A96">
              <w:rPr>
                <w:rFonts w:eastAsia="Batang"/>
                <w:lang w:val="en-US" w:eastAsia="zh-CN"/>
              </w:rPr>
              <w:t>Samsung Electronics Co., Ltd</w:t>
            </w:r>
          </w:p>
        </w:tc>
      </w:tr>
      <w:tr w:rsidR="00DB533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B5336" w:rsidRDefault="00880B76" w:rsidP="001C5C86">
            <w:pPr>
              <w:pStyle w:val="TAL"/>
            </w:pPr>
            <w: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A47" w:rsidRDefault="00F62A47">
      <w:r>
        <w:separator/>
      </w:r>
    </w:p>
  </w:endnote>
  <w:endnote w:type="continuationSeparator" w:id="0">
    <w:p w:rsidR="00F62A47" w:rsidRDefault="00F62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A47" w:rsidRDefault="00F62A47">
      <w:r>
        <w:separator/>
      </w:r>
    </w:p>
  </w:footnote>
  <w:footnote w:type="continuationSeparator" w:id="0">
    <w:p w:rsidR="00F62A47" w:rsidRDefault="00F62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E5928"/>
    <w:multiLevelType w:val="hybridMultilevel"/>
    <w:tmpl w:val="177AE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9140C7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53A538E">
      <w:start w:val="28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5AA55A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F7FAFD3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D62A8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9326A9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05E7A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F2CC7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0A16A5"/>
    <w:multiLevelType w:val="hybridMultilevel"/>
    <w:tmpl w:val="F26E0EF4"/>
    <w:lvl w:ilvl="0" w:tplc="39140C70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10405E"/>
    <w:multiLevelType w:val="hybridMultilevel"/>
    <w:tmpl w:val="249000CC"/>
    <w:lvl w:ilvl="0" w:tplc="0284ED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9140C7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53A538E">
      <w:start w:val="28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5AA55A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F7FAFD3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D62A8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9326A9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05E7A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F2CC7F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6174BAE"/>
    <w:multiLevelType w:val="hybridMultilevel"/>
    <w:tmpl w:val="209ECB4A"/>
    <w:lvl w:ilvl="0" w:tplc="91B08AB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64234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61CE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07ED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CB75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61B0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0AF73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4AC8D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68CF1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46BC3"/>
    <w:rsid w:val="00052BF8"/>
    <w:rsid w:val="00057116"/>
    <w:rsid w:val="00064CB2"/>
    <w:rsid w:val="00066954"/>
    <w:rsid w:val="00067741"/>
    <w:rsid w:val="00071C6B"/>
    <w:rsid w:val="00072A56"/>
    <w:rsid w:val="000A3125"/>
    <w:rsid w:val="000B0519"/>
    <w:rsid w:val="000B61FD"/>
    <w:rsid w:val="000C5FE3"/>
    <w:rsid w:val="000D0100"/>
    <w:rsid w:val="000D122A"/>
    <w:rsid w:val="000E55AD"/>
    <w:rsid w:val="001001BD"/>
    <w:rsid w:val="00102222"/>
    <w:rsid w:val="00110955"/>
    <w:rsid w:val="00120541"/>
    <w:rsid w:val="001211F3"/>
    <w:rsid w:val="0013431A"/>
    <w:rsid w:val="00152587"/>
    <w:rsid w:val="00174617"/>
    <w:rsid w:val="001759A7"/>
    <w:rsid w:val="001A4192"/>
    <w:rsid w:val="001C5C86"/>
    <w:rsid w:val="001C718D"/>
    <w:rsid w:val="001D1C8F"/>
    <w:rsid w:val="001F2563"/>
    <w:rsid w:val="001F7EB4"/>
    <w:rsid w:val="002000C2"/>
    <w:rsid w:val="0020213D"/>
    <w:rsid w:val="00205F25"/>
    <w:rsid w:val="0021364C"/>
    <w:rsid w:val="00221B1E"/>
    <w:rsid w:val="002251A8"/>
    <w:rsid w:val="00240DCD"/>
    <w:rsid w:val="0024786B"/>
    <w:rsid w:val="00251D80"/>
    <w:rsid w:val="002640E5"/>
    <w:rsid w:val="0026436F"/>
    <w:rsid w:val="0026606E"/>
    <w:rsid w:val="00276403"/>
    <w:rsid w:val="002B3FA7"/>
    <w:rsid w:val="002E6A7D"/>
    <w:rsid w:val="002E7A9E"/>
    <w:rsid w:val="002F3C41"/>
    <w:rsid w:val="0030045C"/>
    <w:rsid w:val="00311453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7762E"/>
    <w:rsid w:val="00481925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077E5"/>
    <w:rsid w:val="00552C2C"/>
    <w:rsid w:val="005555B7"/>
    <w:rsid w:val="005562A8"/>
    <w:rsid w:val="005573BB"/>
    <w:rsid w:val="00557B2E"/>
    <w:rsid w:val="00561267"/>
    <w:rsid w:val="00573397"/>
    <w:rsid w:val="00574059"/>
    <w:rsid w:val="00590087"/>
    <w:rsid w:val="005C4F58"/>
    <w:rsid w:val="005C5E8D"/>
    <w:rsid w:val="005C78F2"/>
    <w:rsid w:val="005D057C"/>
    <w:rsid w:val="005D3FEC"/>
    <w:rsid w:val="005D44BE"/>
    <w:rsid w:val="005D6A23"/>
    <w:rsid w:val="00605EFC"/>
    <w:rsid w:val="00611EC4"/>
    <w:rsid w:val="00612542"/>
    <w:rsid w:val="006146D2"/>
    <w:rsid w:val="00620B3F"/>
    <w:rsid w:val="006239E7"/>
    <w:rsid w:val="006254C4"/>
    <w:rsid w:val="006418C6"/>
    <w:rsid w:val="00641ED8"/>
    <w:rsid w:val="00644A07"/>
    <w:rsid w:val="00654893"/>
    <w:rsid w:val="00664C9F"/>
    <w:rsid w:val="00671BBB"/>
    <w:rsid w:val="00682237"/>
    <w:rsid w:val="0069225F"/>
    <w:rsid w:val="00694783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54DC"/>
    <w:rsid w:val="0075252A"/>
    <w:rsid w:val="00764B84"/>
    <w:rsid w:val="00765028"/>
    <w:rsid w:val="0077402C"/>
    <w:rsid w:val="0078034D"/>
    <w:rsid w:val="00790BCC"/>
    <w:rsid w:val="00792392"/>
    <w:rsid w:val="00795CEE"/>
    <w:rsid w:val="007974F5"/>
    <w:rsid w:val="007A2BD7"/>
    <w:rsid w:val="007A5AA5"/>
    <w:rsid w:val="007B0F49"/>
    <w:rsid w:val="007B22A0"/>
    <w:rsid w:val="007B6FA5"/>
    <w:rsid w:val="007C7E14"/>
    <w:rsid w:val="007D03D2"/>
    <w:rsid w:val="007D1AB2"/>
    <w:rsid w:val="007D4A1D"/>
    <w:rsid w:val="007F522E"/>
    <w:rsid w:val="007F7421"/>
    <w:rsid w:val="00801F7F"/>
    <w:rsid w:val="00830311"/>
    <w:rsid w:val="00834A60"/>
    <w:rsid w:val="00863E89"/>
    <w:rsid w:val="00867373"/>
    <w:rsid w:val="0087232A"/>
    <w:rsid w:val="00872B3B"/>
    <w:rsid w:val="00880B76"/>
    <w:rsid w:val="0088222A"/>
    <w:rsid w:val="008901F6"/>
    <w:rsid w:val="00896C03"/>
    <w:rsid w:val="008A495D"/>
    <w:rsid w:val="008A76FD"/>
    <w:rsid w:val="008B2D09"/>
    <w:rsid w:val="008B519F"/>
    <w:rsid w:val="008B5B35"/>
    <w:rsid w:val="008C537F"/>
    <w:rsid w:val="008D658B"/>
    <w:rsid w:val="008F5877"/>
    <w:rsid w:val="00906BDF"/>
    <w:rsid w:val="009150D4"/>
    <w:rsid w:val="009437A2"/>
    <w:rsid w:val="00944B28"/>
    <w:rsid w:val="00967838"/>
    <w:rsid w:val="00971A77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A4E1A"/>
    <w:rsid w:val="00AA6792"/>
    <w:rsid w:val="00AB252B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2511"/>
    <w:rsid w:val="00B24E04"/>
    <w:rsid w:val="00B25381"/>
    <w:rsid w:val="00B2743D"/>
    <w:rsid w:val="00B274A6"/>
    <w:rsid w:val="00B3015C"/>
    <w:rsid w:val="00B344D8"/>
    <w:rsid w:val="00B73B4C"/>
    <w:rsid w:val="00B73F75"/>
    <w:rsid w:val="00BA3A53"/>
    <w:rsid w:val="00BA4095"/>
    <w:rsid w:val="00BA5B43"/>
    <w:rsid w:val="00BC642A"/>
    <w:rsid w:val="00BD44BE"/>
    <w:rsid w:val="00BD4A96"/>
    <w:rsid w:val="00BF7C9D"/>
    <w:rsid w:val="00C01E8C"/>
    <w:rsid w:val="00C03E01"/>
    <w:rsid w:val="00C25C2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4C9B"/>
    <w:rsid w:val="00C77CE9"/>
    <w:rsid w:val="00CA0968"/>
    <w:rsid w:val="00CA168E"/>
    <w:rsid w:val="00CB4236"/>
    <w:rsid w:val="00CC72A4"/>
    <w:rsid w:val="00CD3153"/>
    <w:rsid w:val="00CD4DF4"/>
    <w:rsid w:val="00CF6810"/>
    <w:rsid w:val="00CF7EFB"/>
    <w:rsid w:val="00D16211"/>
    <w:rsid w:val="00D31CC8"/>
    <w:rsid w:val="00D32678"/>
    <w:rsid w:val="00D521C1"/>
    <w:rsid w:val="00D71F40"/>
    <w:rsid w:val="00D77416"/>
    <w:rsid w:val="00D80FC6"/>
    <w:rsid w:val="00D92EEA"/>
    <w:rsid w:val="00DA74F3"/>
    <w:rsid w:val="00DB5336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4A85"/>
    <w:rsid w:val="00E20C37"/>
    <w:rsid w:val="00E52C57"/>
    <w:rsid w:val="00E57E7D"/>
    <w:rsid w:val="00E84CD8"/>
    <w:rsid w:val="00E90B85"/>
    <w:rsid w:val="00E90B89"/>
    <w:rsid w:val="00E91679"/>
    <w:rsid w:val="00E92452"/>
    <w:rsid w:val="00E94CC1"/>
    <w:rsid w:val="00EC3039"/>
    <w:rsid w:val="00EC7A5E"/>
    <w:rsid w:val="00ED00B3"/>
    <w:rsid w:val="00ED7A5B"/>
    <w:rsid w:val="00F07C92"/>
    <w:rsid w:val="00F14B43"/>
    <w:rsid w:val="00F203C7"/>
    <w:rsid w:val="00F215E2"/>
    <w:rsid w:val="00F21D5D"/>
    <w:rsid w:val="00F41A27"/>
    <w:rsid w:val="00F41A3E"/>
    <w:rsid w:val="00F4338D"/>
    <w:rsid w:val="00F440D3"/>
    <w:rsid w:val="00F446AC"/>
    <w:rsid w:val="00F46EAF"/>
    <w:rsid w:val="00F62688"/>
    <w:rsid w:val="00F62A47"/>
    <w:rsid w:val="00F70E49"/>
    <w:rsid w:val="00F83D11"/>
    <w:rsid w:val="00F921F1"/>
    <w:rsid w:val="00FB127E"/>
    <w:rsid w:val="00FB4D47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2BD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2B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2B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2B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B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B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BD7"/>
    <w:pPr>
      <w:outlineLvl w:val="5"/>
    </w:pPr>
  </w:style>
  <w:style w:type="paragraph" w:styleId="Heading7">
    <w:name w:val="heading 7"/>
    <w:basedOn w:val="H6"/>
    <w:next w:val="Normal"/>
    <w:qFormat/>
    <w:rsid w:val="007A2BD7"/>
    <w:pPr>
      <w:outlineLvl w:val="6"/>
    </w:pPr>
  </w:style>
  <w:style w:type="paragraph" w:styleId="Heading8">
    <w:name w:val="heading 8"/>
    <w:basedOn w:val="Heading1"/>
    <w:next w:val="Normal"/>
    <w:qFormat/>
    <w:rsid w:val="007A2B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BD7"/>
    <w:pPr>
      <w:outlineLvl w:val="8"/>
    </w:pPr>
  </w:style>
  <w:style w:type="character" w:default="1" w:styleId="DefaultParagraphFont">
    <w:name w:val="Default Paragraph Font"/>
    <w:semiHidden/>
    <w:rsid w:val="007A2BD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BD7"/>
  </w:style>
  <w:style w:type="paragraph" w:customStyle="1" w:styleId="TAL">
    <w:name w:val="TAL"/>
    <w:basedOn w:val="Normal"/>
    <w:rsid w:val="007A2BD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30311"/>
    <w:pPr>
      <w:widowControl w:val="0"/>
    </w:pPr>
    <w:rPr>
      <w:i/>
      <w:lang w:val="en-US"/>
    </w:rPr>
  </w:style>
  <w:style w:type="paragraph" w:styleId="Header">
    <w:name w:val="header"/>
    <w:rsid w:val="007A2B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3031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3031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2BD7"/>
    <w:rPr>
      <w:b/>
    </w:rPr>
  </w:style>
  <w:style w:type="paragraph" w:customStyle="1" w:styleId="HE">
    <w:name w:val="HE"/>
    <w:basedOn w:val="Normal"/>
    <w:rsid w:val="0083031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2B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A2B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2B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2BD7"/>
    <w:pPr>
      <w:ind w:left="1701" w:hanging="1701"/>
    </w:pPr>
  </w:style>
  <w:style w:type="paragraph" w:styleId="TOC4">
    <w:name w:val="toc 4"/>
    <w:basedOn w:val="TOC3"/>
    <w:semiHidden/>
    <w:rsid w:val="007A2BD7"/>
    <w:pPr>
      <w:ind w:left="1418" w:hanging="1418"/>
    </w:pPr>
  </w:style>
  <w:style w:type="paragraph" w:styleId="TOC3">
    <w:name w:val="toc 3"/>
    <w:basedOn w:val="TOC2"/>
    <w:semiHidden/>
    <w:rsid w:val="007A2BD7"/>
    <w:pPr>
      <w:ind w:left="1134" w:hanging="1134"/>
    </w:pPr>
  </w:style>
  <w:style w:type="paragraph" w:styleId="TOC2">
    <w:name w:val="toc 2"/>
    <w:basedOn w:val="TOC1"/>
    <w:semiHidden/>
    <w:rsid w:val="007A2B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2BD7"/>
    <w:pPr>
      <w:ind w:left="284"/>
    </w:pPr>
  </w:style>
  <w:style w:type="paragraph" w:styleId="Index1">
    <w:name w:val="index 1"/>
    <w:basedOn w:val="Normal"/>
    <w:semiHidden/>
    <w:rsid w:val="007A2BD7"/>
    <w:pPr>
      <w:keepLines/>
      <w:spacing w:after="0"/>
    </w:pPr>
  </w:style>
  <w:style w:type="paragraph" w:customStyle="1" w:styleId="ZH">
    <w:name w:val="ZH"/>
    <w:rsid w:val="007A2B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2BD7"/>
    <w:pPr>
      <w:outlineLvl w:val="9"/>
    </w:pPr>
  </w:style>
  <w:style w:type="paragraph" w:styleId="ListNumber2">
    <w:name w:val="List Number 2"/>
    <w:basedOn w:val="ListNumber"/>
    <w:rsid w:val="007A2BD7"/>
    <w:pPr>
      <w:ind w:left="851"/>
    </w:pPr>
  </w:style>
  <w:style w:type="character" w:styleId="FootnoteReference">
    <w:name w:val="footnote reference"/>
    <w:basedOn w:val="DefaultParagraphFont"/>
    <w:semiHidden/>
    <w:rsid w:val="007A2BD7"/>
    <w:rPr>
      <w:b/>
      <w:position w:val="6"/>
      <w:sz w:val="16"/>
    </w:rPr>
  </w:style>
  <w:style w:type="paragraph" w:styleId="FootnoteText">
    <w:name w:val="footnote text"/>
    <w:basedOn w:val="Normal"/>
    <w:semiHidden/>
    <w:rsid w:val="007A2BD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2BD7"/>
    <w:pPr>
      <w:jc w:val="center"/>
    </w:pPr>
  </w:style>
  <w:style w:type="paragraph" w:customStyle="1" w:styleId="TF">
    <w:name w:val="TF"/>
    <w:basedOn w:val="TH"/>
    <w:rsid w:val="007A2B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2BD7"/>
    <w:pPr>
      <w:keepLines/>
      <w:ind w:left="1135" w:hanging="851"/>
    </w:pPr>
  </w:style>
  <w:style w:type="paragraph" w:styleId="TOC9">
    <w:name w:val="toc 9"/>
    <w:basedOn w:val="TOC8"/>
    <w:semiHidden/>
    <w:rsid w:val="007A2BD7"/>
    <w:pPr>
      <w:ind w:left="1418" w:hanging="1418"/>
    </w:pPr>
  </w:style>
  <w:style w:type="paragraph" w:customStyle="1" w:styleId="EX">
    <w:name w:val="EX"/>
    <w:basedOn w:val="Normal"/>
    <w:rsid w:val="007A2BD7"/>
    <w:pPr>
      <w:keepLines/>
      <w:ind w:left="1702" w:hanging="1418"/>
    </w:pPr>
  </w:style>
  <w:style w:type="paragraph" w:customStyle="1" w:styleId="FP">
    <w:name w:val="FP"/>
    <w:basedOn w:val="Normal"/>
    <w:rsid w:val="007A2BD7"/>
    <w:pPr>
      <w:spacing w:after="0"/>
    </w:pPr>
  </w:style>
  <w:style w:type="paragraph" w:customStyle="1" w:styleId="LD">
    <w:name w:val="LD"/>
    <w:rsid w:val="007A2B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2BD7"/>
    <w:pPr>
      <w:spacing w:after="0"/>
    </w:pPr>
  </w:style>
  <w:style w:type="paragraph" w:customStyle="1" w:styleId="EW">
    <w:name w:val="EW"/>
    <w:basedOn w:val="EX"/>
    <w:rsid w:val="007A2BD7"/>
    <w:pPr>
      <w:spacing w:after="0"/>
    </w:pPr>
  </w:style>
  <w:style w:type="paragraph" w:styleId="TOC6">
    <w:name w:val="toc 6"/>
    <w:basedOn w:val="TOC5"/>
    <w:next w:val="Normal"/>
    <w:semiHidden/>
    <w:rsid w:val="007A2BD7"/>
    <w:pPr>
      <w:ind w:left="1985" w:hanging="1985"/>
    </w:pPr>
  </w:style>
  <w:style w:type="paragraph" w:styleId="TOC7">
    <w:name w:val="toc 7"/>
    <w:basedOn w:val="TOC6"/>
    <w:next w:val="Normal"/>
    <w:semiHidden/>
    <w:rsid w:val="007A2BD7"/>
    <w:pPr>
      <w:ind w:left="2268" w:hanging="2268"/>
    </w:pPr>
  </w:style>
  <w:style w:type="paragraph" w:styleId="ListBullet2">
    <w:name w:val="List Bullet 2"/>
    <w:basedOn w:val="ListBullet"/>
    <w:rsid w:val="007A2BD7"/>
    <w:pPr>
      <w:ind w:left="851"/>
    </w:pPr>
  </w:style>
  <w:style w:type="paragraph" w:styleId="ListBullet3">
    <w:name w:val="List Bullet 3"/>
    <w:basedOn w:val="ListBullet2"/>
    <w:rsid w:val="007A2BD7"/>
    <w:pPr>
      <w:ind w:left="1135"/>
    </w:pPr>
  </w:style>
  <w:style w:type="paragraph" w:styleId="ListNumber">
    <w:name w:val="List Number"/>
    <w:basedOn w:val="List"/>
    <w:rsid w:val="007A2BD7"/>
  </w:style>
  <w:style w:type="paragraph" w:customStyle="1" w:styleId="EQ">
    <w:name w:val="EQ"/>
    <w:basedOn w:val="Normal"/>
    <w:next w:val="Normal"/>
    <w:rsid w:val="007A2B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2B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2B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2B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2BD7"/>
    <w:pPr>
      <w:jc w:val="right"/>
    </w:pPr>
  </w:style>
  <w:style w:type="paragraph" w:customStyle="1" w:styleId="H6">
    <w:name w:val="H6"/>
    <w:basedOn w:val="Heading5"/>
    <w:next w:val="Normal"/>
    <w:rsid w:val="007A2B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2BD7"/>
    <w:pPr>
      <w:ind w:left="851" w:hanging="851"/>
    </w:pPr>
  </w:style>
  <w:style w:type="paragraph" w:customStyle="1" w:styleId="ZA">
    <w:name w:val="ZA"/>
    <w:rsid w:val="007A2B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2B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2B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2B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2BD7"/>
    <w:pPr>
      <w:framePr w:wrap="notBeside" w:y="16161"/>
    </w:pPr>
  </w:style>
  <w:style w:type="character" w:customStyle="1" w:styleId="ZGSM">
    <w:name w:val="ZGSM"/>
    <w:rsid w:val="007A2BD7"/>
  </w:style>
  <w:style w:type="paragraph" w:styleId="List2">
    <w:name w:val="List 2"/>
    <w:basedOn w:val="List"/>
    <w:rsid w:val="007A2BD7"/>
    <w:pPr>
      <w:ind w:left="851"/>
    </w:pPr>
  </w:style>
  <w:style w:type="paragraph" w:customStyle="1" w:styleId="ZG">
    <w:name w:val="ZG"/>
    <w:rsid w:val="007A2B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2BD7"/>
    <w:pPr>
      <w:ind w:left="1135"/>
    </w:pPr>
  </w:style>
  <w:style w:type="paragraph" w:styleId="List4">
    <w:name w:val="List 4"/>
    <w:basedOn w:val="List3"/>
    <w:rsid w:val="007A2BD7"/>
    <w:pPr>
      <w:ind w:left="1418"/>
    </w:pPr>
  </w:style>
  <w:style w:type="paragraph" w:styleId="List5">
    <w:name w:val="List 5"/>
    <w:basedOn w:val="List4"/>
    <w:rsid w:val="007A2BD7"/>
    <w:pPr>
      <w:ind w:left="1702"/>
    </w:pPr>
  </w:style>
  <w:style w:type="paragraph" w:customStyle="1" w:styleId="EditorsNote">
    <w:name w:val="Editor's Note"/>
    <w:basedOn w:val="NO"/>
    <w:rsid w:val="007A2BD7"/>
    <w:rPr>
      <w:color w:val="FF0000"/>
    </w:rPr>
  </w:style>
  <w:style w:type="paragraph" w:styleId="List">
    <w:name w:val="List"/>
    <w:basedOn w:val="Normal"/>
    <w:rsid w:val="007A2BD7"/>
    <w:pPr>
      <w:ind w:left="568" w:hanging="284"/>
    </w:pPr>
  </w:style>
  <w:style w:type="paragraph" w:styleId="ListBullet">
    <w:name w:val="List Bullet"/>
    <w:basedOn w:val="List"/>
    <w:rsid w:val="007A2BD7"/>
  </w:style>
  <w:style w:type="paragraph" w:styleId="ListBullet4">
    <w:name w:val="List Bullet 4"/>
    <w:basedOn w:val="ListBullet3"/>
    <w:rsid w:val="007A2BD7"/>
    <w:pPr>
      <w:ind w:left="1418"/>
    </w:pPr>
  </w:style>
  <w:style w:type="paragraph" w:styleId="ListBullet5">
    <w:name w:val="List Bullet 5"/>
    <w:basedOn w:val="ListBullet4"/>
    <w:rsid w:val="007A2BD7"/>
    <w:pPr>
      <w:ind w:left="1702"/>
    </w:pPr>
  </w:style>
  <w:style w:type="paragraph" w:customStyle="1" w:styleId="B1">
    <w:name w:val="B1"/>
    <w:basedOn w:val="List"/>
    <w:link w:val="B1Char"/>
    <w:rsid w:val="007A2BD7"/>
  </w:style>
  <w:style w:type="paragraph" w:customStyle="1" w:styleId="B2">
    <w:name w:val="B2"/>
    <w:basedOn w:val="List2"/>
    <w:rsid w:val="007A2BD7"/>
  </w:style>
  <w:style w:type="paragraph" w:customStyle="1" w:styleId="B3">
    <w:name w:val="B3"/>
    <w:basedOn w:val="List3"/>
    <w:rsid w:val="007A2BD7"/>
  </w:style>
  <w:style w:type="paragraph" w:customStyle="1" w:styleId="B4">
    <w:name w:val="B4"/>
    <w:basedOn w:val="List4"/>
    <w:rsid w:val="007A2BD7"/>
  </w:style>
  <w:style w:type="paragraph" w:customStyle="1" w:styleId="B5">
    <w:name w:val="B5"/>
    <w:basedOn w:val="List5"/>
    <w:rsid w:val="007A2BD7"/>
  </w:style>
  <w:style w:type="paragraph" w:styleId="Footer">
    <w:name w:val="footer"/>
    <w:basedOn w:val="Header"/>
    <w:rsid w:val="007A2BD7"/>
    <w:pPr>
      <w:jc w:val="center"/>
    </w:pPr>
    <w:rPr>
      <w:i/>
    </w:rPr>
  </w:style>
  <w:style w:type="paragraph" w:customStyle="1" w:styleId="ZTD">
    <w:name w:val="ZTD"/>
    <w:basedOn w:val="ZB"/>
    <w:rsid w:val="007A2BD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64C9F"/>
    <w:rPr>
      <w:lang w:val="en-GB"/>
    </w:rPr>
  </w:style>
  <w:style w:type="character" w:customStyle="1" w:styleId="NOChar">
    <w:name w:val="NO Char"/>
    <w:link w:val="NO"/>
    <w:rsid w:val="00792392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52587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A9975-8C6F-4624-9B33-73918A59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 SP-170837</vt:lpstr>
    </vt:vector>
  </TitlesOfParts>
  <Manager>Paolo Usai</Manager>
  <Company>ETSI - MCC Support</Company>
  <LinksUpToDate>false</LinksUpToDate>
  <CharactersWithSpaces>7619</CharactersWithSpaces>
  <SharedDoc>false</SharedDoc>
  <HLinks>
    <vt:vector size="24" baseType="variant">
      <vt:variant>
        <vt:i4>721017</vt:i4>
      </vt:variant>
      <vt:variant>
        <vt:i4>9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SP-170837</dc:title>
  <dc:subject>New Study Item on Media Handling Aspects of RAN DelaNew Study Item on Media Handling Aspects of RAN Delay Budget Reporting in MTSI (FS_E2E_DELAY)y Budget Reporting in MTSI (FS_E2E_DELAY)</dc:subject>
  <dc:creator>TSG SA WG4</dc:creator>
  <cp:keywords>WID template, CTPClassification=CTP_IC:VisualMarkings=</cp:keywords>
  <cp:lastModifiedBy>9720</cp:lastModifiedBy>
  <cp:revision>5</cp:revision>
  <cp:lastPrinted>2000-02-29T10:31:00Z</cp:lastPrinted>
  <dcterms:created xsi:type="dcterms:W3CDTF">2017-11-23T02:05:00Z</dcterms:created>
  <dcterms:modified xsi:type="dcterms:W3CDTF">2017-11-24T02:47:00Z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c193f862-b4cb-4d77-a595-0f0d55a509ec</vt:lpwstr>
  </property>
  <property fmtid="{D5CDD505-2E9C-101B-9397-08002B2CF9AE}" pid="5" name="CTP_BU">
    <vt:lpwstr>NEXT GEN AND STANDARDS GROUP</vt:lpwstr>
  </property>
  <property fmtid="{D5CDD505-2E9C-101B-9397-08002B2CF9AE}" pid="6" name="CTP_TimeStamp">
    <vt:lpwstr>2017-10-13 09:47:51Z</vt:lpwstr>
  </property>
  <property fmtid="{D5CDD505-2E9C-101B-9397-08002B2CF9AE}" pid="7" name="_AdHocReviewCycleID">
    <vt:i4>268716484</vt:i4>
  </property>
  <property fmtid="{D5CDD505-2E9C-101B-9397-08002B2CF9AE}" pid="8" name="_EmailSubject">
    <vt:lpwstr>On S4-170759 &amp; S4-170758</vt:lpwstr>
  </property>
  <property fmtid="{D5CDD505-2E9C-101B-9397-08002B2CF9AE}" pid="9" name="_AuthorEmail">
    <vt:lpwstr>nleung@qti.qualcomm.com</vt:lpwstr>
  </property>
  <property fmtid="{D5CDD505-2E9C-101B-9397-08002B2CF9AE}" pid="10" name="_AuthorEmailDisplayName">
    <vt:lpwstr>Nikolai Leung</vt:lpwstr>
  </property>
  <property fmtid="{D5CDD505-2E9C-101B-9397-08002B2CF9AE}" pid="11" name="_ReviewingToolsShownOnce">
    <vt:lpwstr/>
  </property>
  <property fmtid="{D5CDD505-2E9C-101B-9397-08002B2CF9AE}" pid="12" name="CTPClassification">
    <vt:lpwstr>CTP_IC</vt:lpwstr>
  </property>
</Properties>
</file>