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Meeting #70</w:t>
      </w:r>
      <w:r>
        <w:rPr>
          <w:rFonts w:cs="Arial"/>
          <w:b/>
          <w:noProof/>
          <w:sz w:val="24"/>
          <w:szCs w:val="24"/>
        </w:rPr>
        <w:tab/>
        <w:t>RP-15</w:t>
      </w:r>
      <w:r w:rsidR="00986BE4">
        <w:rPr>
          <w:rFonts w:cs="Arial"/>
          <w:b/>
          <w:noProof/>
          <w:sz w:val="24"/>
          <w:szCs w:val="24"/>
        </w:rPr>
        <w:t>1991</w:t>
      </w:r>
    </w:p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Sitges, Spain</w:t>
      </w:r>
      <w:r w:rsidRPr="0033775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7</w:t>
      </w:r>
      <w:r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Pr="0033775D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10</w:t>
      </w:r>
      <w:r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Pr="0033775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September, 2015</w:t>
      </w:r>
      <w:r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Pr="00986BE4">
        <w:rPr>
          <w:rFonts w:ascii="Arial" w:hAnsi="Arial" w:cs="Arial"/>
          <w:sz w:val="24"/>
          <w:szCs w:val="24"/>
        </w:rPr>
        <w:t xml:space="preserve">Applicability of </w:t>
      </w:r>
      <w:r w:rsidR="00986BE4" w:rsidRPr="00986BE4">
        <w:rPr>
          <w:rFonts w:ascii="Arial" w:hAnsi="Arial" w:cs="Arial"/>
          <w:sz w:val="24"/>
          <w:szCs w:val="24"/>
        </w:rPr>
        <w:t>SA2’s</w:t>
      </w:r>
      <w:r w:rsidRPr="00986BE4">
        <w:rPr>
          <w:rFonts w:ascii="Arial" w:hAnsi="Arial" w:cs="Arial"/>
          <w:sz w:val="24"/>
          <w:szCs w:val="24"/>
        </w:rPr>
        <w:t xml:space="preserve"> architecture optimisations to non-NB-IOT devices in release 13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CA5880">
        <w:rPr>
          <w:rFonts w:ascii="Arial" w:hAnsi="Arial"/>
          <w:sz w:val="24"/>
        </w:rPr>
        <w:t>11.7.17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>
        <w:rPr>
          <w:rFonts w:ascii="Arial" w:hAnsi="Arial"/>
          <w:sz w:val="24"/>
        </w:rPr>
        <w:t>Discussion</w:t>
      </w:r>
      <w:r w:rsidR="008B4CB6">
        <w:rPr>
          <w:rFonts w:ascii="Arial" w:hAnsi="Arial"/>
          <w:sz w:val="24"/>
        </w:rPr>
        <w:t xml:space="preserve"> and decisions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1D01B9" w:rsidRDefault="00986BE4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>This contribution discusses a potential inter-TSG issue that if unresolved could impact the completion of Rel-13 NB-</w:t>
      </w:r>
      <w:proofErr w:type="spellStart"/>
      <w:r>
        <w:rPr>
          <w:rFonts w:ascii="Times New Roman" w:hAnsi="Times New Roman"/>
          <w:b w:val="0"/>
          <w:noProof w:val="0"/>
          <w:sz w:val="20"/>
          <w:lang w:val="en-GB"/>
        </w:rPr>
        <w:t>IoT</w:t>
      </w:r>
      <w:proofErr w:type="spellEnd"/>
      <w:r>
        <w:rPr>
          <w:rFonts w:ascii="Times New Roman" w:hAnsi="Times New Roman"/>
          <w:b w:val="0"/>
          <w:noProof w:val="0"/>
          <w:sz w:val="20"/>
          <w:lang w:val="en-GB"/>
        </w:rPr>
        <w:t xml:space="preserve"> work within the required timeframe.</w:t>
      </w:r>
    </w:p>
    <w:p w:rsidR="00986BE4" w:rsidRDefault="00986BE4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986BE4" w:rsidRDefault="00986BE4" w:rsidP="00986BE4">
      <w:pPr>
        <w:pStyle w:val="Heading1"/>
        <w:jc w:val="both"/>
      </w:pPr>
      <w:r>
        <w:t>2</w:t>
      </w:r>
      <w:r>
        <w:tab/>
        <w:t>Discussion</w:t>
      </w:r>
    </w:p>
    <w:p w:rsidR="00986BE4" w:rsidRDefault="00986BE4" w:rsidP="00986BE4">
      <w:r>
        <w:t>As part of the work to introduce NB-</w:t>
      </w:r>
      <w:proofErr w:type="spellStart"/>
      <w:r>
        <w:t>IoT</w:t>
      </w:r>
      <w:proofErr w:type="spellEnd"/>
      <w:r>
        <w:t xml:space="preserve"> into 3GPP specifications, SA2 is working on enhancements to the system architecture for </w:t>
      </w:r>
      <w:proofErr w:type="spellStart"/>
      <w:r>
        <w:t>IoT</w:t>
      </w:r>
      <w:proofErr w:type="spellEnd"/>
      <w:r>
        <w:t xml:space="preserve"> devices to allow the RAN objectives (in particular regarding battery life) to be met by </w:t>
      </w:r>
      <w:proofErr w:type="spellStart"/>
      <w:r>
        <w:t>IoT</w:t>
      </w:r>
      <w:proofErr w:type="spellEnd"/>
      <w:r>
        <w:t xml:space="preserve"> devices. SA2 has made good progress on the architecture work, but </w:t>
      </w:r>
      <w:r w:rsidR="00CD539D">
        <w:t>the question has been raised as to</w:t>
      </w:r>
      <w:r>
        <w:t xml:space="preserve"> whether the NB-</w:t>
      </w:r>
      <w:proofErr w:type="spellStart"/>
      <w:r>
        <w:t>IoT</w:t>
      </w:r>
      <w:proofErr w:type="spellEnd"/>
      <w:r>
        <w:t xml:space="preserve"> architecture </w:t>
      </w:r>
      <w:r w:rsidR="008B4CB6">
        <w:t xml:space="preserve">enhancements </w:t>
      </w:r>
      <w:r>
        <w:t xml:space="preserve">should also be made applicable for other use cases and device types, such as </w:t>
      </w:r>
      <w:r w:rsidR="00CA5880">
        <w:t xml:space="preserve">Category 0 </w:t>
      </w:r>
      <w:r>
        <w:t xml:space="preserve">and </w:t>
      </w:r>
      <w:r w:rsidR="008B4CB6">
        <w:t xml:space="preserve">Low Complexity </w:t>
      </w:r>
      <w:proofErr w:type="spellStart"/>
      <w:r>
        <w:t>eMTC</w:t>
      </w:r>
      <w:proofErr w:type="spellEnd"/>
      <w:r>
        <w:t xml:space="preserve"> devices, and even smartphones. </w:t>
      </w:r>
    </w:p>
    <w:p w:rsidR="00986BE4" w:rsidRDefault="00986BE4" w:rsidP="00986BE4">
      <w:r>
        <w:t>A lack of clarity on this issue has led to some delays in progress in SA2</w:t>
      </w:r>
      <w:r w:rsidR="00CD539D">
        <w:t xml:space="preserve">, </w:t>
      </w:r>
      <w:r w:rsidR="008B4CB6">
        <w:t xml:space="preserve">and will lead to further delays within SA2 and CT working groups. </w:t>
      </w:r>
      <w:r w:rsidR="00CD539D">
        <w:t>Vodafone believes that TSG RAN should provide guidance to SA2 on this</w:t>
      </w:r>
      <w:r w:rsidR="008B4CB6">
        <w:t xml:space="preserve"> topic</w:t>
      </w:r>
      <w:r w:rsidR="00CD539D">
        <w:t xml:space="preserve"> so that work can progress quickly.</w:t>
      </w:r>
    </w:p>
    <w:p w:rsidR="008B4CB6" w:rsidRDefault="008B4CB6" w:rsidP="00986BE4">
      <w:r>
        <w:t xml:space="preserve">While </w:t>
      </w:r>
      <w:r w:rsidR="00986BE4">
        <w:t xml:space="preserve">Vodafone does see some benefit in </w:t>
      </w:r>
      <w:r>
        <w:t xml:space="preserve">using some of </w:t>
      </w:r>
      <w:r w:rsidR="00CD539D">
        <w:t>the NB-</w:t>
      </w:r>
      <w:proofErr w:type="spellStart"/>
      <w:r w:rsidR="00CD539D">
        <w:t>IoT</w:t>
      </w:r>
      <w:proofErr w:type="spellEnd"/>
      <w:r w:rsidR="00CD539D">
        <w:t xml:space="preserve"> architecture </w:t>
      </w:r>
      <w:r>
        <w:t>enhancements for</w:t>
      </w:r>
      <w:r w:rsidR="00986BE4">
        <w:t xml:space="preserve"> </w:t>
      </w:r>
      <w:r>
        <w:t xml:space="preserve">some </w:t>
      </w:r>
      <w:r w:rsidR="00986BE4">
        <w:t xml:space="preserve">other use cases, </w:t>
      </w:r>
      <w:r>
        <w:t xml:space="preserve">Vodafone </w:t>
      </w:r>
      <w:r w:rsidR="00986BE4">
        <w:t xml:space="preserve">does not see </w:t>
      </w:r>
      <w:r>
        <w:t xml:space="preserve">this to be </w:t>
      </w:r>
      <w:r w:rsidR="00986BE4">
        <w:t xml:space="preserve">a critical </w:t>
      </w:r>
      <w:r w:rsidR="00CD539D">
        <w:t xml:space="preserve">part of Rel-13 work. </w:t>
      </w:r>
    </w:p>
    <w:p w:rsidR="00CD539D" w:rsidRDefault="00CD539D" w:rsidP="00986BE4">
      <w:r>
        <w:t xml:space="preserve">However, </w:t>
      </w:r>
      <w:r w:rsidR="008B4CB6">
        <w:t xml:space="preserve">Vodafone’s strong request is </w:t>
      </w:r>
      <w:r>
        <w:t xml:space="preserve">that </w:t>
      </w:r>
      <w:r w:rsidR="008B4CB6">
        <w:t xml:space="preserve">this </w:t>
      </w:r>
      <w:r>
        <w:t xml:space="preserve">TSG RAN </w:t>
      </w:r>
      <w:r w:rsidR="008B4CB6">
        <w:t xml:space="preserve">plenary meeting </w:t>
      </w:r>
      <w:r>
        <w:t>decide</w:t>
      </w:r>
      <w:r w:rsidR="008B4CB6">
        <w:t>s</w:t>
      </w:r>
      <w:r>
        <w:t xml:space="preserve"> what is required</w:t>
      </w:r>
      <w:r w:rsidR="008B4CB6">
        <w:t xml:space="preserve"> in </w:t>
      </w:r>
      <w:r w:rsidR="006E2AD1">
        <w:t>R</w:t>
      </w:r>
      <w:r w:rsidR="008B4CB6">
        <w:t>elease 13, and what is not included</w:t>
      </w:r>
      <w:r>
        <w:t xml:space="preserve"> </w:t>
      </w:r>
      <w:r w:rsidR="008B4CB6">
        <w:t xml:space="preserve">in </w:t>
      </w:r>
      <w:r w:rsidR="006E2AD1">
        <w:t>R</w:t>
      </w:r>
      <w:r w:rsidR="008B4CB6">
        <w:t xml:space="preserve">elease 13, </w:t>
      </w:r>
      <w:r>
        <w:t xml:space="preserve">and </w:t>
      </w:r>
      <w:r w:rsidR="008B4CB6">
        <w:t xml:space="preserve">to </w:t>
      </w:r>
      <w:r>
        <w:t xml:space="preserve">inform SA2 </w:t>
      </w:r>
      <w:r w:rsidR="008B4CB6">
        <w:t xml:space="preserve">and the CT working groups </w:t>
      </w:r>
      <w:r>
        <w:t>of their decision.</w:t>
      </w:r>
    </w:p>
    <w:p w:rsidR="008B4CB6" w:rsidRDefault="008B4CB6" w:rsidP="008B4CB6">
      <w:pPr>
        <w:pStyle w:val="Heading1"/>
        <w:jc w:val="both"/>
      </w:pPr>
      <w:r>
        <w:t>3</w:t>
      </w:r>
      <w:r>
        <w:tab/>
        <w:t>RAN/CT</w:t>
      </w:r>
      <w:r w:rsidR="004B07E8">
        <w:t>/SA</w:t>
      </w:r>
      <w:r>
        <w:t xml:space="preserve"> issues when </w:t>
      </w:r>
      <w:r w:rsidR="004B07E8">
        <w:t>NB-</w:t>
      </w:r>
      <w:proofErr w:type="spellStart"/>
      <w:r w:rsidR="004B07E8">
        <w:t>IoT’s</w:t>
      </w:r>
      <w:proofErr w:type="spellEnd"/>
      <w:r w:rsidR="004B07E8">
        <w:t xml:space="preserve"> Architecture E</w:t>
      </w:r>
      <w:r w:rsidR="00C2184D">
        <w:t xml:space="preserve">nhancements are </w:t>
      </w:r>
      <w:r>
        <w:t>applied beyond NB-</w:t>
      </w:r>
      <w:proofErr w:type="spellStart"/>
      <w:r>
        <w:t>IoT</w:t>
      </w:r>
      <w:proofErr w:type="spellEnd"/>
    </w:p>
    <w:p w:rsidR="00BB794E" w:rsidRDefault="00BB794E" w:rsidP="006E2AD1">
      <w:pPr>
        <w:pStyle w:val="Heading2"/>
      </w:pPr>
      <w:r>
        <w:t>3.0</w:t>
      </w:r>
      <w:r>
        <w:tab/>
        <w:t>Background</w:t>
      </w:r>
    </w:p>
    <w:p w:rsidR="004B07E8" w:rsidRDefault="004B07E8" w:rsidP="006E2AD1">
      <w:r>
        <w:t>NB-</w:t>
      </w:r>
      <w:proofErr w:type="spellStart"/>
      <w:r>
        <w:t>IoT</w:t>
      </w:r>
      <w:proofErr w:type="spellEnd"/>
      <w:r>
        <w:t xml:space="preserve"> UEs are easily identifiable by the </w:t>
      </w:r>
      <w:proofErr w:type="spellStart"/>
      <w:r>
        <w:t>eNB</w:t>
      </w:r>
      <w:proofErr w:type="spellEnd"/>
      <w:r>
        <w:t xml:space="preserve"> (because they access control channels dedicated to NB-</w:t>
      </w:r>
      <w:proofErr w:type="spellStart"/>
      <w:r>
        <w:t>IoT</w:t>
      </w:r>
      <w:proofErr w:type="spellEnd"/>
      <w:r>
        <w:t>) and</w:t>
      </w:r>
      <w:r w:rsidR="0022081F">
        <w:t xml:space="preserve"> they</w:t>
      </w:r>
      <w:r>
        <w:t xml:space="preserve"> </w:t>
      </w:r>
      <w:r w:rsidR="0022081F" w:rsidRPr="006E2AD1">
        <w:rPr>
          <w:b/>
        </w:rPr>
        <w:t>shall</w:t>
      </w:r>
      <w:r>
        <w:t xml:space="preserve"> be connected to </w:t>
      </w:r>
      <w:r w:rsidR="0022081F">
        <w:t xml:space="preserve">a “Release 13” </w:t>
      </w:r>
      <w:r>
        <w:t xml:space="preserve">MME that </w:t>
      </w:r>
      <w:r w:rsidR="0022081F">
        <w:t xml:space="preserve">can </w:t>
      </w:r>
      <w:r>
        <w:t>support them. NB-</w:t>
      </w:r>
      <w:proofErr w:type="spellStart"/>
      <w:r>
        <w:t>IoT</w:t>
      </w:r>
      <w:proofErr w:type="spellEnd"/>
      <w:r>
        <w:t xml:space="preserve"> UEs do not support network controlled mobility, and, (currently) SA2’s CRs assume that devices that support NB-</w:t>
      </w:r>
      <w:proofErr w:type="spellStart"/>
      <w:r>
        <w:t>IoT</w:t>
      </w:r>
      <w:proofErr w:type="spellEnd"/>
      <w:r>
        <w:t xml:space="preserve"> do not support other variants of E-UTRAN, UTRAN or GERAN.</w:t>
      </w:r>
      <w:r w:rsidR="00BB794E">
        <w:t xml:space="preserve"> The RRC message encoding for the RRC connection establishment for NB-</w:t>
      </w:r>
      <w:proofErr w:type="spellStart"/>
      <w:r w:rsidR="00BB794E">
        <w:t>IoT</w:t>
      </w:r>
      <w:proofErr w:type="spellEnd"/>
      <w:r w:rsidR="00BB794E">
        <w:t xml:space="preserve"> is not constrained by legacy (R8-R12) message definitions.</w:t>
      </w:r>
    </w:p>
    <w:p w:rsidR="00BB794E" w:rsidRDefault="00BB794E" w:rsidP="006E2AD1">
      <w:r>
        <w:t xml:space="preserve">In contrast, other LTE device categories (Cat 1-4/ Cat 0/ Cat M) might not be easily identifiable during RRC connection establishment, and they may be multi-RAT devices. Additionally, they [all] support network controlled mobility.  </w:t>
      </w:r>
    </w:p>
    <w:p w:rsidR="006E2AD1" w:rsidRDefault="006E2AD1" w:rsidP="006E2AD1">
      <w:r>
        <w:lastRenderedPageBreak/>
        <w:t>The following sections list the main SA2 NB-</w:t>
      </w:r>
      <w:proofErr w:type="spellStart"/>
      <w:r>
        <w:t>IoT</w:t>
      </w:r>
      <w:proofErr w:type="spellEnd"/>
      <w:r>
        <w:t xml:space="preserve"> features and an INITIAL consideration of the open issues if they are applied to UEs other than NB-</w:t>
      </w:r>
      <w:proofErr w:type="spellStart"/>
      <w:r>
        <w:t>IoT</w:t>
      </w:r>
      <w:proofErr w:type="spellEnd"/>
      <w:r>
        <w:t xml:space="preserve"> devices.</w:t>
      </w:r>
      <w:r w:rsidR="00CA5880">
        <w:t xml:space="preserve"> Other companies are invited to help consolidate/correct the issue list.</w:t>
      </w:r>
    </w:p>
    <w:p w:rsidR="008B4CB6" w:rsidRPr="0022081F" w:rsidRDefault="008B4CB6" w:rsidP="006E2AD1">
      <w:pPr>
        <w:pStyle w:val="Heading2"/>
      </w:pPr>
      <w:r w:rsidRPr="0022081F">
        <w:t>3.1</w:t>
      </w:r>
      <w:r w:rsidRPr="0022081F">
        <w:tab/>
        <w:t>“small data via MME”</w:t>
      </w:r>
      <w:r w:rsidRPr="0022081F">
        <w:tab/>
        <w:t>(Solution 2 from TR 23.720)</w:t>
      </w:r>
    </w:p>
    <w:p w:rsidR="008B4CB6" w:rsidRDefault="008B4CB6" w:rsidP="006E2AD1">
      <w:r>
        <w:t xml:space="preserve">This feature requires support from the </w:t>
      </w:r>
      <w:proofErr w:type="gramStart"/>
      <w:r>
        <w:t>MME,</w:t>
      </w:r>
      <w:proofErr w:type="gramEnd"/>
      <w:r>
        <w:t xml:space="preserve"> hence non-NB-</w:t>
      </w:r>
      <w:proofErr w:type="spellStart"/>
      <w:r>
        <w:t>IoT</w:t>
      </w:r>
      <w:proofErr w:type="spellEnd"/>
      <w:r>
        <w:t xml:space="preserve"> UEs may encounter MMEs that do not support the feature. MME support can be negotiated at Attach/TAU, and the R’13 Dedicated Core Network (DECOR) feature could be </w:t>
      </w:r>
      <w:r w:rsidRPr="006E2AD1">
        <w:rPr>
          <w:b/>
          <w:i/>
        </w:rPr>
        <w:t>extended</w:t>
      </w:r>
      <w:r>
        <w:t xml:space="preserve"> to move UEs to a supporting MME.</w:t>
      </w:r>
    </w:p>
    <w:p w:rsidR="008B4CB6" w:rsidRDefault="008B4CB6" w:rsidP="006E2AD1">
      <w:r>
        <w:t xml:space="preserve">In order to support </w:t>
      </w:r>
      <w:proofErr w:type="spellStart"/>
      <w:r>
        <w:t>eNB</w:t>
      </w:r>
      <w:proofErr w:type="spellEnd"/>
      <w:r>
        <w:t xml:space="preserve"> scheduling mechanisms, RAN 2 signalling support is probably required to indicate in the RRC Connection Establishment signalling (message 1 or message 3) that ‘small data’ is being sent rather than NAS signalling.</w:t>
      </w:r>
      <w:r w:rsidR="00C2184D">
        <w:t xml:space="preserve"> This leads to an issue as to whether all </w:t>
      </w:r>
      <w:proofErr w:type="spellStart"/>
      <w:r w:rsidR="00C2184D">
        <w:t>eNBs</w:t>
      </w:r>
      <w:proofErr w:type="spellEnd"/>
      <w:r w:rsidR="00C2184D">
        <w:t xml:space="preserve"> within a Tracking Area LIST support the feature</w:t>
      </w:r>
      <w:r w:rsidR="006E2AD1">
        <w:t xml:space="preserve">. </w:t>
      </w:r>
      <w:r w:rsidR="00C2184D">
        <w:t xml:space="preserve"> </w:t>
      </w:r>
      <w:r w:rsidR="006E2AD1">
        <w:t xml:space="preserve">TSG RAN should note that </w:t>
      </w:r>
      <w:r w:rsidR="00C2184D">
        <w:t xml:space="preserve">the MME might allocate a TAI LIST that includes a TA of vendor X’s small cells on [900] MHz and a different TA of vendor Y’s macro cells on [800] </w:t>
      </w:r>
      <w:proofErr w:type="spellStart"/>
      <w:r w:rsidR="00C2184D">
        <w:t>MHz.</w:t>
      </w:r>
      <w:proofErr w:type="spellEnd"/>
      <w:r w:rsidR="006E2AD1">
        <w:t xml:space="preserve"> Hence System Information may need to broadcast support for this feature on a per-</w:t>
      </w:r>
      <w:proofErr w:type="spellStart"/>
      <w:r w:rsidR="006E2AD1">
        <w:t>eNB</w:t>
      </w:r>
      <w:proofErr w:type="spellEnd"/>
      <w:r w:rsidR="006E2AD1">
        <w:t xml:space="preserve"> basis.</w:t>
      </w:r>
      <w:r w:rsidR="00C2184D">
        <w:t xml:space="preserve"> </w:t>
      </w:r>
    </w:p>
    <w:p w:rsidR="008B4CB6" w:rsidRDefault="008B4CB6" w:rsidP="006E2AD1">
      <w:r>
        <w:t xml:space="preserve">Issues related to ‘upgrading’ from ‘small data via the MME’ to S1-U/Data Radio Bearer need to </w:t>
      </w:r>
      <w:r w:rsidR="00C2184D">
        <w:t>be considered and these require</w:t>
      </w:r>
      <w:r>
        <w:t xml:space="preserve"> SA2 design and CT4 stage 3 work.</w:t>
      </w:r>
      <w:r w:rsidR="0022081F">
        <w:t xml:space="preserve"> This cannot be readily ignored as an </w:t>
      </w:r>
      <w:proofErr w:type="spellStart"/>
      <w:r w:rsidR="0022081F">
        <w:t>eNB</w:t>
      </w:r>
      <w:proofErr w:type="spellEnd"/>
      <w:r w:rsidR="0022081F">
        <w:t xml:space="preserve"> cannot perform handover with the current ‘small data via MME’ design because the security context has not been downloaded to the MME.</w:t>
      </w:r>
    </w:p>
    <w:p w:rsidR="00C2184D" w:rsidRDefault="00C2184D" w:rsidP="006E2AD1">
      <w:r>
        <w:t>The SA2 open issue (GTP-C vs GTP-U) on data transfer across the S11 (SGW-MME) interface might lead to complexity if mobility with 2G/3G SGSNs has to be considered.</w:t>
      </w:r>
    </w:p>
    <w:p w:rsidR="008B4CB6" w:rsidRPr="006E2AD1" w:rsidRDefault="008B4CB6" w:rsidP="006E2AD1">
      <w:pPr>
        <w:pStyle w:val="Heading2"/>
      </w:pPr>
      <w:r w:rsidRPr="0022081F">
        <w:t>3.2</w:t>
      </w:r>
      <w:r w:rsidRPr="0022081F">
        <w:tab/>
        <w:t>“</w:t>
      </w:r>
      <w:proofErr w:type="spellStart"/>
      <w:r w:rsidRPr="0022081F">
        <w:t>cacheing</w:t>
      </w:r>
      <w:proofErr w:type="spellEnd"/>
      <w:r w:rsidRPr="0022081F">
        <w:t xml:space="preserve"> UE context in </w:t>
      </w:r>
      <w:proofErr w:type="spellStart"/>
      <w:r w:rsidRPr="0022081F">
        <w:t>eNB</w:t>
      </w:r>
      <w:proofErr w:type="spellEnd"/>
      <w:r w:rsidRPr="0022081F">
        <w:t xml:space="preserve"> and UE in RRC-Idle” (Solution 18 from TR 23.720)</w:t>
      </w:r>
    </w:p>
    <w:p w:rsidR="008B4CB6" w:rsidRDefault="00C2184D" w:rsidP="006E2AD1">
      <w:r>
        <w:t xml:space="preserve">This feature requires MME support to clear cached information in an old </w:t>
      </w:r>
      <w:proofErr w:type="spellStart"/>
      <w:r>
        <w:t>eNB</w:t>
      </w:r>
      <w:proofErr w:type="spellEnd"/>
      <w:r>
        <w:t>. (Probably 2G/3G SGSN support is not needed, but this need to be verified).</w:t>
      </w:r>
      <w:r w:rsidR="00693727">
        <w:t xml:space="preserve"> MME support can be negotiated at Attach/TAU, but the </w:t>
      </w:r>
      <w:r w:rsidR="0022081F">
        <w:t xml:space="preserve">target </w:t>
      </w:r>
      <w:r w:rsidR="00693727">
        <w:t>MME</w:t>
      </w:r>
      <w:r w:rsidR="0022081F">
        <w:t>’s</w:t>
      </w:r>
      <w:r w:rsidR="00693727">
        <w:t xml:space="preserve"> </w:t>
      </w:r>
      <w:r w:rsidR="006E2AD1">
        <w:t>(non)</w:t>
      </w:r>
      <w:r w:rsidR="00693727">
        <w:t>support also needs to be taken into account at inter-MME/inter-RAT handover (and this is not included in SA2’s current work as NB-</w:t>
      </w:r>
      <w:proofErr w:type="spellStart"/>
      <w:r w:rsidR="00693727">
        <w:t>IoT</w:t>
      </w:r>
      <w:proofErr w:type="spellEnd"/>
      <w:r w:rsidR="00693727">
        <w:t xml:space="preserve"> does not support network controlled handover).</w:t>
      </w:r>
    </w:p>
    <w:p w:rsidR="008B4CB6" w:rsidRDefault="00693727" w:rsidP="006E2AD1">
      <w:proofErr w:type="spellStart"/>
      <w:proofErr w:type="gramStart"/>
      <w:r>
        <w:t>eNB</w:t>
      </w:r>
      <w:proofErr w:type="spellEnd"/>
      <w:proofErr w:type="gramEnd"/>
      <w:r>
        <w:t xml:space="preserve"> support is also needed with the RRC Connection Establishment signalling. This leads to </w:t>
      </w:r>
      <w:r w:rsidR="004B07E8">
        <w:t xml:space="preserve">the </w:t>
      </w:r>
      <w:r>
        <w:t xml:space="preserve">issue as to whether all </w:t>
      </w:r>
      <w:proofErr w:type="spellStart"/>
      <w:r>
        <w:t>eNBs</w:t>
      </w:r>
      <w:proofErr w:type="spellEnd"/>
      <w:r>
        <w:t xml:space="preserve"> within a Tracking Area LIST support the feature</w:t>
      </w:r>
      <w:r w:rsidR="004B07E8">
        <w:t>…</w:t>
      </w:r>
      <w:r>
        <w:t xml:space="preserve"> </w:t>
      </w:r>
    </w:p>
    <w:p w:rsidR="004B07E8" w:rsidRDefault="004B07E8" w:rsidP="006E2AD1">
      <w:pPr>
        <w:pStyle w:val="Heading2"/>
      </w:pPr>
      <w:r w:rsidRPr="0022081F">
        <w:t>3.3</w:t>
      </w:r>
      <w:r w:rsidRPr="0022081F">
        <w:tab/>
        <w:t>Non IP Bearer</w:t>
      </w:r>
      <w:r>
        <w:t xml:space="preserve"> </w:t>
      </w:r>
      <w:r w:rsidRPr="0022081F">
        <w:t>connection</w:t>
      </w:r>
      <w:r>
        <w:t xml:space="preserve"> via PDN-GW</w:t>
      </w:r>
    </w:p>
    <w:p w:rsidR="004B07E8" w:rsidRDefault="004B07E8" w:rsidP="006E2AD1">
      <w:r>
        <w:t>This applies to both “solution 2” and “solution 18”.</w:t>
      </w:r>
    </w:p>
    <w:p w:rsidR="004B07E8" w:rsidRDefault="004B07E8" w:rsidP="006E2AD1">
      <w:r>
        <w:t>MME support is required. This can be negotiated at Attach/TAU</w:t>
      </w:r>
      <w:r w:rsidRPr="004B07E8">
        <w:t xml:space="preserve"> </w:t>
      </w:r>
      <w:r>
        <w:t xml:space="preserve">but the </w:t>
      </w:r>
      <w:r w:rsidR="0022081F">
        <w:t xml:space="preserve">target </w:t>
      </w:r>
      <w:r>
        <w:t>MME</w:t>
      </w:r>
      <w:r w:rsidR="006E2AD1">
        <w:t>’s</w:t>
      </w:r>
      <w:r>
        <w:t xml:space="preserve"> </w:t>
      </w:r>
      <w:r w:rsidR="006E2AD1">
        <w:t xml:space="preserve">(non) </w:t>
      </w:r>
      <w:r>
        <w:t>support also needs to be taken into account at inter-MME/</w:t>
      </w:r>
      <w:r w:rsidR="0022081F">
        <w:t>inter-RAT</w:t>
      </w:r>
      <w:r>
        <w:t xml:space="preserve"> handover (and this is not included in SA2’s current work as NB-</w:t>
      </w:r>
      <w:proofErr w:type="spellStart"/>
      <w:r>
        <w:t>IoT</w:t>
      </w:r>
      <w:proofErr w:type="spellEnd"/>
      <w:r>
        <w:t xml:space="preserve"> does not support network controlled handover).</w:t>
      </w:r>
    </w:p>
    <w:p w:rsidR="004B07E8" w:rsidRDefault="004B07E8" w:rsidP="006E2AD1">
      <w:r>
        <w:t xml:space="preserve">No specification changes (and no WID) exist for adding </w:t>
      </w:r>
      <w:r w:rsidR="006E2AD1">
        <w:t>the non IP bearer</w:t>
      </w:r>
      <w:r>
        <w:t xml:space="preserve"> to GERAN or UTRAN. Hence Inter-RAT mobility issues need to be resolved – especially as 4G -&gt; 2G/3G mobility could lead to the LTE device having no default bearer and a subsequent 2G/3G -&gt; 4G mobility event might lead to the device becoming detached and not even contactable by SMS!</w:t>
      </w:r>
    </w:p>
    <w:p w:rsidR="004B07E8" w:rsidRDefault="004B07E8" w:rsidP="006E2AD1">
      <w:r>
        <w:t xml:space="preserve">The </w:t>
      </w:r>
      <w:proofErr w:type="spellStart"/>
      <w:r>
        <w:t>eNB</w:t>
      </w:r>
      <w:proofErr w:type="spellEnd"/>
      <w:r>
        <w:t xml:space="preserve"> needs to understand that this is a “non-IP” bearer and disable any </w:t>
      </w:r>
      <w:proofErr w:type="spellStart"/>
      <w:r>
        <w:t>RoHC</w:t>
      </w:r>
      <w:proofErr w:type="spellEnd"/>
      <w:r>
        <w:t xml:space="preserve"> header compression (and any ‘implementation specific’ optimisations performed based on IP header inspection)</w:t>
      </w:r>
      <w:r w:rsidR="0022081F">
        <w:t xml:space="preserve">. Again, common support across all </w:t>
      </w:r>
      <w:proofErr w:type="spellStart"/>
      <w:r w:rsidR="0022081F">
        <w:t>eNBs</w:t>
      </w:r>
      <w:proofErr w:type="spellEnd"/>
      <w:r w:rsidR="0022081F">
        <w:t xml:space="preserve"> in the TAI LIST is needed.</w:t>
      </w:r>
    </w:p>
    <w:p w:rsidR="004B07E8" w:rsidRPr="0022081F" w:rsidRDefault="0022081F" w:rsidP="006E2AD1">
      <w:pPr>
        <w:pStyle w:val="Heading2"/>
      </w:pPr>
      <w:r w:rsidRPr="0022081F">
        <w:t>3.4</w:t>
      </w:r>
      <w:r w:rsidRPr="0022081F">
        <w:tab/>
        <w:t>Non IP Bearer connection via SCEF</w:t>
      </w:r>
    </w:p>
    <w:p w:rsidR="004B07E8" w:rsidRDefault="0022081F" w:rsidP="006E2AD1">
      <w:r>
        <w:t>Note: the Service Capability Ex</w:t>
      </w:r>
      <w:r w:rsidR="006E2AD1">
        <w:t>posure</w:t>
      </w:r>
      <w:r>
        <w:t xml:space="preserve"> Function is described in TS 23.682.</w:t>
      </w:r>
    </w:p>
    <w:p w:rsidR="004B07E8" w:rsidRDefault="0022081F" w:rsidP="006E2AD1">
      <w:r>
        <w:t>This requires “solution 2” ‘small data via MME’ to be supported.</w:t>
      </w:r>
    </w:p>
    <w:p w:rsidR="0022081F" w:rsidRDefault="0022081F" w:rsidP="006E2AD1">
      <w:r>
        <w:t xml:space="preserve">MME support of this feature is needed, and, again the target MME’s </w:t>
      </w:r>
      <w:r w:rsidR="006E2AD1">
        <w:t>(</w:t>
      </w:r>
      <w:proofErr w:type="gramStart"/>
      <w:r w:rsidR="006E2AD1">
        <w:t>non)</w:t>
      </w:r>
      <w:proofErr w:type="gramEnd"/>
      <w:r>
        <w:t>support needs to be taken into account at inter-MME/inter-RAT handover.</w:t>
      </w:r>
    </w:p>
    <w:p w:rsidR="0022081F" w:rsidRDefault="0022081F" w:rsidP="006E2AD1">
      <w:r>
        <w:t>The feature is also not supported on 2G/3G, so its utility for multi-RAT devices is not clear.</w:t>
      </w:r>
    </w:p>
    <w:p w:rsidR="0022081F" w:rsidRDefault="0022081F" w:rsidP="006E2AD1">
      <w:r>
        <w:t xml:space="preserve">Whether and how this feature is signalling in RRC Connection establishment signalling is </w:t>
      </w:r>
      <w:proofErr w:type="spellStart"/>
      <w:proofErr w:type="gramStart"/>
      <w:r>
        <w:t>tbd</w:t>
      </w:r>
      <w:proofErr w:type="spellEnd"/>
      <w:proofErr w:type="gramEnd"/>
      <w:r>
        <w:t>.</w:t>
      </w:r>
    </w:p>
    <w:p w:rsidR="0022081F" w:rsidRPr="004B07E8" w:rsidRDefault="0022081F" w:rsidP="006E2AD1">
      <w:pPr>
        <w:pStyle w:val="Heading2"/>
      </w:pPr>
      <w:r>
        <w:lastRenderedPageBreak/>
        <w:t>3.5</w:t>
      </w:r>
      <w:r>
        <w:tab/>
        <w:t>Attach without Default Bearer</w:t>
      </w:r>
    </w:p>
    <w:p w:rsidR="008B4CB6" w:rsidRDefault="0022081F" w:rsidP="006E2AD1">
      <w:r>
        <w:t>This “EMM attach without any ESM signalling” feature requires MME support but might work without RAN support.</w:t>
      </w:r>
    </w:p>
    <w:p w:rsidR="0022081F" w:rsidRDefault="0022081F" w:rsidP="006E2AD1">
      <w:r>
        <w:t>The capability of the MME probably needs to be known before the UE attempts to Attach (or TAU) to the MME: this implies extra System Information broadcast, and potentially impacts the UE’s SI reception logic.</w:t>
      </w:r>
    </w:p>
    <w:p w:rsidR="0022081F" w:rsidRDefault="0022081F" w:rsidP="006E2AD1">
      <w:r>
        <w:t>Theoretically, at inter-MME/inter-RAT handover, a ‘supporting MME’ needs to be selected.</w:t>
      </w:r>
    </w:p>
    <w:p w:rsidR="0022081F" w:rsidRDefault="0022081F" w:rsidP="006E2AD1">
      <w:r>
        <w:t>2G/3G behaviour may also be impacted as “bearer-less” mobility to LTE would be enabled.</w:t>
      </w:r>
    </w:p>
    <w:p w:rsidR="0022081F" w:rsidRDefault="00BB794E" w:rsidP="006E2AD1">
      <w:pPr>
        <w:pStyle w:val="Heading2"/>
      </w:pPr>
      <w:r>
        <w:t>3.6</w:t>
      </w:r>
      <w:r>
        <w:tab/>
        <w:t>SMS without “Combined Attach”</w:t>
      </w:r>
    </w:p>
    <w:p w:rsidR="00BB794E" w:rsidRDefault="00BB794E" w:rsidP="006E2AD1">
      <w:r>
        <w:t>The MME’s support for this feature should also be made known to the UE before it starts the Attach/TAU procedure</w:t>
      </w:r>
      <w:r w:rsidR="006E2AD1">
        <w:t xml:space="preserve"> (i.e. System Information broadcasts are needed)</w:t>
      </w:r>
      <w:r>
        <w:t>.</w:t>
      </w:r>
    </w:p>
    <w:p w:rsidR="00CD539D" w:rsidRDefault="00CA5880" w:rsidP="00CD539D">
      <w:pPr>
        <w:pStyle w:val="Heading1"/>
        <w:jc w:val="both"/>
      </w:pPr>
      <w:r>
        <w:t>4</w:t>
      </w:r>
      <w:r w:rsidR="00CD539D">
        <w:tab/>
        <w:t>Proposal</w:t>
      </w:r>
    </w:p>
    <w:p w:rsidR="00CD539D" w:rsidRDefault="00BB794E" w:rsidP="00986BE4">
      <w:r>
        <w:t xml:space="preserve">This </w:t>
      </w:r>
      <w:r w:rsidR="00CD539D">
        <w:t xml:space="preserve">TSG RAN </w:t>
      </w:r>
      <w:r>
        <w:t xml:space="preserve">plenary </w:t>
      </w:r>
      <w:r w:rsidR="00CD539D">
        <w:t>to decide wh</w:t>
      </w:r>
      <w:r>
        <w:t xml:space="preserve">ich of the </w:t>
      </w:r>
      <w:r w:rsidR="00CD539D">
        <w:t>NB-</w:t>
      </w:r>
      <w:proofErr w:type="spellStart"/>
      <w:r w:rsidR="00CD539D">
        <w:t>IoT</w:t>
      </w:r>
      <w:proofErr w:type="spellEnd"/>
      <w:r w:rsidR="00CD539D">
        <w:t xml:space="preserve"> architecture </w:t>
      </w:r>
      <w:r>
        <w:t xml:space="preserve">enhancements </w:t>
      </w:r>
      <w:r w:rsidR="00CD539D">
        <w:t>should be applicable in Rel-13 to:</w:t>
      </w:r>
    </w:p>
    <w:p w:rsidR="00BB794E" w:rsidRDefault="006E2AD1" w:rsidP="00CD539D">
      <w:pPr>
        <w:pStyle w:val="ListParagraph"/>
        <w:numPr>
          <w:ilvl w:val="0"/>
          <w:numId w:val="1"/>
        </w:numPr>
      </w:pPr>
      <w:r>
        <w:t>“</w:t>
      </w:r>
      <w:r w:rsidR="00BB794E">
        <w:t>Cat 1 and ab</w:t>
      </w:r>
      <w:bookmarkStart w:id="0" w:name="_GoBack"/>
      <w:bookmarkEnd w:id="0"/>
      <w:r w:rsidR="00BB794E">
        <w:t>ove</w:t>
      </w:r>
      <w:r>
        <w:t>”</w:t>
      </w:r>
      <w:r w:rsidR="00BB794E">
        <w:t xml:space="preserve"> devices </w:t>
      </w:r>
      <w:r w:rsidR="00CA5880">
        <w:t xml:space="preserve">operating </w:t>
      </w:r>
      <w:r w:rsidR="0060598B">
        <w:t>in normal coverage</w:t>
      </w:r>
    </w:p>
    <w:p w:rsidR="00BB794E" w:rsidRDefault="006E2AD1" w:rsidP="00CD539D">
      <w:pPr>
        <w:pStyle w:val="ListParagraph"/>
        <w:numPr>
          <w:ilvl w:val="0"/>
          <w:numId w:val="1"/>
        </w:numPr>
      </w:pPr>
      <w:r>
        <w:t>“</w:t>
      </w:r>
      <w:r w:rsidR="00BB794E">
        <w:t>Cat 1 and above</w:t>
      </w:r>
      <w:r>
        <w:t>”</w:t>
      </w:r>
      <w:r w:rsidR="00BB794E">
        <w:t xml:space="preserve"> devices </w:t>
      </w:r>
      <w:r w:rsidR="00CA5880">
        <w:t xml:space="preserve">operating </w:t>
      </w:r>
      <w:r w:rsidR="00BB794E">
        <w:t xml:space="preserve">in </w:t>
      </w:r>
      <w:proofErr w:type="spellStart"/>
      <w:r w:rsidR="00BB794E">
        <w:t>eMTC</w:t>
      </w:r>
      <w:proofErr w:type="spellEnd"/>
      <w:r w:rsidR="00BB794E">
        <w:t xml:space="preserve"> coverage</w:t>
      </w:r>
      <w:r w:rsidR="00C85518">
        <w:t xml:space="preserve"> enhancement mode</w:t>
      </w:r>
    </w:p>
    <w:p w:rsidR="006E2AD1" w:rsidRDefault="006E2AD1" w:rsidP="00CD539D">
      <w:pPr>
        <w:pStyle w:val="ListParagraph"/>
        <w:numPr>
          <w:ilvl w:val="0"/>
          <w:numId w:val="1"/>
        </w:numPr>
      </w:pPr>
      <w:r>
        <w:t xml:space="preserve">Cat 0 devices </w:t>
      </w:r>
      <w:r w:rsidR="00CA5880">
        <w:t xml:space="preserve">operating </w:t>
      </w:r>
      <w:r>
        <w:t>in normal coverage</w:t>
      </w:r>
    </w:p>
    <w:p w:rsidR="00BB794E" w:rsidRDefault="00BB794E" w:rsidP="00CD539D">
      <w:pPr>
        <w:pStyle w:val="ListParagraph"/>
        <w:numPr>
          <w:ilvl w:val="0"/>
          <w:numId w:val="1"/>
        </w:numPr>
      </w:pPr>
      <w:r>
        <w:t>Cat 0 devices</w:t>
      </w:r>
      <w:r w:rsidR="006E2AD1">
        <w:t xml:space="preserve"> </w:t>
      </w:r>
      <w:r w:rsidR="00CA5880">
        <w:t xml:space="preserve">operating </w:t>
      </w:r>
      <w:r w:rsidR="006E2AD1">
        <w:t xml:space="preserve">in </w:t>
      </w:r>
      <w:proofErr w:type="spellStart"/>
      <w:r w:rsidR="006E2AD1">
        <w:t>eMTC</w:t>
      </w:r>
      <w:proofErr w:type="spellEnd"/>
      <w:r w:rsidR="006E2AD1">
        <w:t xml:space="preserve"> coverage</w:t>
      </w:r>
      <w:r w:rsidR="00C85518">
        <w:t xml:space="preserve"> enhancement mode</w:t>
      </w:r>
    </w:p>
    <w:p w:rsidR="001C4383" w:rsidRDefault="001C4383" w:rsidP="001C4383">
      <w:pPr>
        <w:pStyle w:val="ListParagraph"/>
        <w:numPr>
          <w:ilvl w:val="0"/>
          <w:numId w:val="1"/>
        </w:numPr>
      </w:pPr>
      <w:r w:rsidRPr="00BE5D2B">
        <w:rPr>
          <w:rFonts w:hint="eastAsia"/>
          <w:lang w:eastAsia="zh-CN"/>
        </w:rPr>
        <w:t xml:space="preserve">Category </w:t>
      </w:r>
      <w:r>
        <w:rPr>
          <w:lang w:val="sv-SE" w:eastAsia="zh-CN"/>
        </w:rPr>
        <w:t>M1:</w:t>
      </w:r>
      <w:r>
        <w:t xml:space="preserve">Bandwidth reduced </w:t>
      </w:r>
      <w:r>
        <w:t xml:space="preserve">devices </w:t>
      </w:r>
      <w:r>
        <w:t>operating in normal coverage</w:t>
      </w:r>
    </w:p>
    <w:p w:rsidR="001C4383" w:rsidRDefault="001C4383" w:rsidP="001C4383">
      <w:pPr>
        <w:pStyle w:val="ListParagraph"/>
        <w:numPr>
          <w:ilvl w:val="0"/>
          <w:numId w:val="1"/>
        </w:numPr>
      </w:pPr>
      <w:r w:rsidRPr="00BE5D2B">
        <w:rPr>
          <w:rFonts w:hint="eastAsia"/>
          <w:lang w:eastAsia="zh-CN"/>
        </w:rPr>
        <w:t xml:space="preserve">Category </w:t>
      </w:r>
      <w:r>
        <w:rPr>
          <w:lang w:val="sv-SE" w:eastAsia="zh-CN"/>
        </w:rPr>
        <w:t>M1:</w:t>
      </w:r>
      <w:r>
        <w:t xml:space="preserve">Bandwidth reduced devices operating in </w:t>
      </w:r>
      <w:proofErr w:type="spellStart"/>
      <w:r>
        <w:t>eMTC</w:t>
      </w:r>
      <w:proofErr w:type="spellEnd"/>
      <w:r>
        <w:t xml:space="preserve"> coverage enhancement mode</w:t>
      </w:r>
    </w:p>
    <w:p w:rsidR="00BB794E" w:rsidRDefault="00CA5880" w:rsidP="00CD539D">
      <w:pPr>
        <w:pStyle w:val="ListParagraph"/>
        <w:numPr>
          <w:ilvl w:val="0"/>
          <w:numId w:val="1"/>
        </w:numPr>
      </w:pPr>
      <w:r>
        <w:t>Others?</w:t>
      </w:r>
    </w:p>
    <w:p w:rsidR="00BB794E" w:rsidRDefault="00CA5880" w:rsidP="00CD539D">
      <w:pPr>
        <w:jc w:val="both"/>
      </w:pPr>
      <w:r>
        <w:t>However, to simplify the process of taking all issues into account, a quick solution would be to restrict the Release 13 Architecture Enhancements solely to NB-</w:t>
      </w:r>
      <w:proofErr w:type="spellStart"/>
      <w:r>
        <w:t>IoT</w:t>
      </w:r>
      <w:proofErr w:type="spellEnd"/>
      <w:r>
        <w:t>, yet request the working groups to develop changes bearing future ext</w:t>
      </w:r>
      <w:r w:rsidR="00C85518">
        <w:t>e</w:t>
      </w:r>
      <w:r>
        <w:t>nsions in mind.</w:t>
      </w:r>
    </w:p>
    <w:p w:rsidR="00BB794E" w:rsidRDefault="00BB794E" w:rsidP="00CD539D">
      <w:pPr>
        <w:jc w:val="both"/>
      </w:pPr>
    </w:p>
    <w:p w:rsidR="00CD539D" w:rsidRDefault="00CD539D" w:rsidP="00BB794E">
      <w:pPr>
        <w:jc w:val="both"/>
      </w:pPr>
    </w:p>
    <w:sectPr w:rsidR="00CD53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1C4383"/>
    <w:rsid w:val="001D01B9"/>
    <w:rsid w:val="0022081F"/>
    <w:rsid w:val="004B07E8"/>
    <w:rsid w:val="0060598B"/>
    <w:rsid w:val="00693727"/>
    <w:rsid w:val="006E2AD1"/>
    <w:rsid w:val="008B4CB6"/>
    <w:rsid w:val="00986BE4"/>
    <w:rsid w:val="009A03EC"/>
    <w:rsid w:val="00BB794E"/>
    <w:rsid w:val="00C2184D"/>
    <w:rsid w:val="00C85518"/>
    <w:rsid w:val="00CA5880"/>
    <w:rsid w:val="00CD539D"/>
    <w:rsid w:val="00D9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Tim Frost, Vodafone</cp:lastModifiedBy>
  <cp:revision>4</cp:revision>
  <dcterms:created xsi:type="dcterms:W3CDTF">2015-12-01T15:52:00Z</dcterms:created>
  <dcterms:modified xsi:type="dcterms:W3CDTF">2015-12-01T15:58:00Z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1879605653</vt:i4>
  </property>
  <property fmtid="{D5CDD505-2E9C-101B-9397-08002B2CF9AE}" pid="3" name="_NewReviewCycle">
    <vt:lpwstr/>
  </property>
  <property fmtid="{D5CDD505-2E9C-101B-9397-08002B2CF9AE}" pid="4" name="_EmailSubject">
    <vt:lpwstr>RAN doc on SA2 confusion</vt:lpwstr>
  </property>
  <property fmtid="{D5CDD505-2E9C-101B-9397-08002B2CF9AE}" pid="5" name="_AuthorEmail">
    <vt:lpwstr>tim.frost@vodafone.com</vt:lpwstr>
  </property>
  <property fmtid="{D5CDD505-2E9C-101B-9397-08002B2CF9AE}" pid="6" name="_AuthorEmailDisplayName">
    <vt:lpwstr>Frost, Tim, Vodafone Group (tfrostf)</vt:lpwstr>
  </property>
  <property fmtid="{D5CDD505-2E9C-101B-9397-08002B2CF9AE}" pid="7" name="_ReviewingToolsShownOnce">
    <vt:lpwstr/>
  </property>
</Properties>
</file>