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Header"/>
        <w:tabs>
          <w:tab w:val="right" w:pos="9639"/>
        </w:tabs>
        <w:rPr>
          <w:bCs/>
          <w:noProof w:val="0"/>
          <w:sz w:val="24"/>
          <w:szCs w:val="24"/>
        </w:rPr>
      </w:pPr>
      <w:r>
        <w:rPr>
          <w:bCs/>
          <w:noProof w:val="0"/>
          <w:sz w:val="24"/>
          <w:szCs w:val="24"/>
        </w:rPr>
        <w:t>3GPP TSG RAN Meeting #83</w:t>
      </w:r>
      <w:r>
        <w:rPr>
          <w:bCs/>
          <w:noProof w:val="0"/>
          <w:sz w:val="24"/>
          <w:szCs w:val="24"/>
        </w:rPr>
        <w:tab/>
        <w:t>RP-190492</w:t>
      </w:r>
    </w:p>
    <w:p>
      <w:pPr>
        <w:pStyle w:val="Header"/>
        <w:tabs>
          <w:tab w:val="right" w:pos="9639"/>
        </w:tabs>
        <w:rPr>
          <w:bCs/>
          <w:noProof w:val="0"/>
          <w:sz w:val="24"/>
          <w:szCs w:val="24"/>
        </w:rPr>
      </w:pPr>
      <w:r>
        <w:rPr>
          <w:bCs/>
          <w:noProof w:val="0"/>
          <w:sz w:val="24"/>
          <w:szCs w:val="24"/>
        </w:rPr>
        <w:t>Shenzhen, China, March 18-21, 2019</w:t>
      </w:r>
      <w:r>
        <w:rPr>
          <w:bCs/>
          <w:noProof w:val="0"/>
          <w:sz w:val="24"/>
          <w:szCs w:val="24"/>
        </w:rPr>
        <w:tab/>
      </w:r>
      <w:r>
        <w:rPr>
          <w:bCs/>
          <w:noProof w:val="0"/>
          <w:sz w:val="24"/>
          <w:szCs w:val="24"/>
        </w:rPr>
        <w:tab/>
      </w:r>
    </w:p>
    <w:p>
      <w:pPr>
        <w:pStyle w:val="Header"/>
        <w:rPr>
          <w:bCs/>
          <w:noProof w:val="0"/>
          <w:sz w:val="24"/>
          <w:lang w:val="en-GB" w:eastAsia="ja-JP"/>
        </w:rPr>
      </w:pPr>
    </w:p>
    <w:p>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9.3.12</w:t>
      </w:r>
    </w:p>
    <w:p>
      <w:pPr>
        <w:tabs>
          <w:tab w:val="left" w:pos="1985"/>
        </w:tabs>
        <w:spacing w:after="120"/>
        <w:ind w:left="1985" w:hanging="1985"/>
        <w:rPr>
          <w:rFonts w:ascii="Arial" w:hAnsi="Arial" w:cs="Arial"/>
          <w:b/>
          <w:bCs/>
          <w:sz w:val="24"/>
          <w:szCs w:val="24"/>
          <w:lang w:val="en-US"/>
        </w:rPr>
      </w:pPr>
      <w:r>
        <w:rPr>
          <w:rFonts w:ascii="Arial" w:hAnsi="Arial" w:cs="Arial"/>
          <w:b/>
          <w:bCs/>
          <w:sz w:val="24"/>
          <w:szCs w:val="24"/>
        </w:rPr>
        <w:t xml:space="preserve">Source: </w:t>
      </w:r>
      <w:r>
        <w:rPr>
          <w:rFonts w:ascii="Arial" w:hAnsi="Arial" w:cs="Arial"/>
          <w:b/>
          <w:bCs/>
          <w:sz w:val="24"/>
        </w:rPr>
        <w:tab/>
      </w:r>
      <w:r>
        <w:rPr>
          <w:rFonts w:ascii="Arial" w:hAnsi="Arial" w:cs="Arial"/>
          <w:b/>
          <w:bCs/>
          <w:sz w:val="24"/>
          <w:szCs w:val="24"/>
        </w:rPr>
        <w:t>Nokia, Nokia Shanghai Bell</w:t>
      </w:r>
    </w:p>
    <w:p>
      <w:pPr>
        <w:ind w:left="1985" w:hanging="1985"/>
        <w:rPr>
          <w:rFonts w:ascii="Arial" w:hAnsi="Arial" w:cs="Arial"/>
          <w:b/>
          <w:bCs/>
          <w:sz w:val="24"/>
          <w:szCs w:val="24"/>
        </w:rPr>
      </w:pPr>
      <w:r>
        <w:rPr>
          <w:rFonts w:ascii="Arial" w:hAnsi="Arial" w:cs="Arial"/>
          <w:b/>
          <w:bCs/>
          <w:sz w:val="24"/>
          <w:szCs w:val="24"/>
        </w:rPr>
        <w:t xml:space="preserve">Title: </w:t>
      </w:r>
      <w:r>
        <w:rPr>
          <w:rFonts w:ascii="Arial" w:hAnsi="Arial" w:cs="Arial"/>
          <w:b/>
          <w:bCs/>
          <w:sz w:val="24"/>
        </w:rPr>
        <w:tab/>
      </w:r>
      <w:r>
        <w:rPr>
          <w:rFonts w:ascii="Arial" w:hAnsi="Arial" w:cs="Arial"/>
          <w:b/>
          <w:bCs/>
          <w:sz w:val="24"/>
          <w:szCs w:val="24"/>
        </w:rPr>
        <w:t xml:space="preserve">NR beyond 52.6GHz – </w:t>
      </w:r>
      <w:bookmarkStart w:id="0" w:name="_Hlk769536"/>
      <w:r>
        <w:rPr>
          <w:rFonts w:ascii="Arial" w:hAnsi="Arial" w:cs="Arial"/>
          <w:b/>
          <w:bCs/>
          <w:sz w:val="24"/>
          <w:szCs w:val="24"/>
        </w:rPr>
        <w:t>Potential use cases and deployment scenarios</w:t>
      </w:r>
      <w:bookmarkEnd w:id="0"/>
    </w:p>
    <w:p>
      <w:pPr>
        <w:rPr>
          <w:rFonts w:ascii="Arial" w:hAnsi="Arial" w:cs="Arial"/>
          <w:b/>
          <w:bCs/>
          <w:sz w:val="24"/>
          <w:szCs w:val="24"/>
        </w:rPr>
      </w:pPr>
      <w:r>
        <w:rPr>
          <w:rFonts w:ascii="Arial" w:hAnsi="Arial" w:cs="Arial"/>
          <w:b/>
          <w:bCs/>
          <w:sz w:val="24"/>
          <w:szCs w:val="24"/>
        </w:rPr>
        <w:t xml:space="preserve">Document for: </w:t>
      </w:r>
      <w:r>
        <w:rPr>
          <w:rFonts w:ascii="Arial" w:hAnsi="Arial" w:cs="Arial"/>
          <w:b/>
          <w:bCs/>
          <w:sz w:val="24"/>
        </w:rPr>
        <w:tab/>
      </w:r>
      <w:r>
        <w:rPr>
          <w:rFonts w:ascii="Arial" w:hAnsi="Arial" w:cs="Arial"/>
          <w:b/>
          <w:bCs/>
          <w:sz w:val="24"/>
          <w:szCs w:val="24"/>
        </w:rPr>
        <w:t>Discussion and Decision</w:t>
      </w:r>
    </w:p>
    <w:p>
      <w:pPr>
        <w:pStyle w:val="Heading1"/>
      </w:pPr>
      <w:bookmarkStart w:id="1" w:name="_Ref531021995"/>
      <w:r>
        <w:t>Introduction</w:t>
      </w:r>
      <w:bookmarkEnd w:id="1"/>
    </w:p>
    <w:p>
      <w:pPr>
        <w:rPr>
          <w:lang w:val="en-US"/>
        </w:rPr>
      </w:pPr>
      <w:r>
        <w:t xml:space="preserve">This document </w:t>
      </w:r>
      <w:r>
        <w:rPr>
          <w:lang w:val="en-US"/>
        </w:rPr>
        <w:t>identifies potential use cases, deployment scenarios and performance targets for NR beyond 52.6 GHz.  Use cases such as private networks, time sensitive networks, high accuracy positioning, environmental sensing and audio/visual interaction are envisioned.  Deployment scenarios such as backhaul, mobile hotspots, fixed wireless, dense urban and indoor hotspots will be suitable for these higher frequency bands.</w:t>
      </w:r>
    </w:p>
    <w:p>
      <w:pPr>
        <w:pStyle w:val="Heading1"/>
        <w:rPr>
          <w:lang w:val="en-US"/>
        </w:rPr>
      </w:pPr>
      <w:r>
        <w:rPr>
          <w:lang w:val="en-US"/>
        </w:rPr>
        <w:t>Potential use cases and deployment scenarios</w:t>
      </w:r>
    </w:p>
    <w:p>
      <w:pPr>
        <w:tabs>
          <w:tab w:val="num" w:pos="720"/>
        </w:tabs>
        <w:jc w:val="both"/>
      </w:pPr>
      <w:r>
        <w:t xml:space="preserve">The frequency bands beyond 52.6 GHz contain large spectrum allocations and support higher capacity and higher bit rate use cases than lower </w:t>
      </w:r>
      <w:bookmarkStart w:id="2" w:name="_GoBack"/>
      <w:bookmarkEnd w:id="2"/>
      <w:r>
        <w:t xml:space="preserve">mmw bands. The main challenges are increased path loss and less efficient RF components.  The larger number of antenna elements can be accommodated in the same form factor as in lower mmw bands thus compensating for the pathloss and providing comparable LoS coverage. Also, a dense network deployment is needed in dense urban and indoor environment. By taking into account the benefits and limitations, we are proposing the following use cases and deployment scenarios.   </w:t>
      </w:r>
    </w:p>
    <w:p>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Use Cases </w:t>
      </w:r>
    </w:p>
    <w:tbl>
      <w:tblPr>
        <w:tblStyle w:val="TableGrid"/>
        <w:tblW w:w="0" w:type="auto"/>
        <w:tblLook w:val="04A0" w:firstRow="1" w:lastRow="0" w:firstColumn="1" w:lastColumn="0" w:noHBand="0" w:noVBand="1"/>
      </w:tblPr>
      <w:tblGrid>
        <w:gridCol w:w="1795"/>
        <w:gridCol w:w="4579"/>
        <w:gridCol w:w="3255"/>
      </w:tblGrid>
      <w:tr>
        <w:tc>
          <w:tcPr>
            <w:tcW w:w="1795" w:type="dxa"/>
            <w:shd w:val="clear" w:color="auto" w:fill="E7E6E6" w:themeFill="background2"/>
          </w:tcPr>
          <w:p>
            <w:pPr>
              <w:tabs>
                <w:tab w:val="num" w:pos="720"/>
              </w:tabs>
              <w:rPr>
                <w:b/>
              </w:rPr>
            </w:pPr>
            <w:r>
              <w:rPr>
                <w:b/>
              </w:rPr>
              <w:t>Use Case</w:t>
            </w:r>
          </w:p>
        </w:tc>
        <w:tc>
          <w:tcPr>
            <w:tcW w:w="4579" w:type="dxa"/>
            <w:shd w:val="clear" w:color="auto" w:fill="E7E6E6" w:themeFill="background2"/>
          </w:tcPr>
          <w:p>
            <w:pPr>
              <w:tabs>
                <w:tab w:val="num" w:pos="720"/>
              </w:tabs>
              <w:rPr>
                <w:b/>
              </w:rPr>
            </w:pPr>
            <w:r>
              <w:rPr>
                <w:b/>
              </w:rPr>
              <w:t>Description</w:t>
            </w:r>
          </w:p>
        </w:tc>
        <w:tc>
          <w:tcPr>
            <w:tcW w:w="3255" w:type="dxa"/>
            <w:shd w:val="clear" w:color="auto" w:fill="E7E6E6" w:themeFill="background2"/>
          </w:tcPr>
          <w:p>
            <w:pPr>
              <w:tabs>
                <w:tab w:val="num" w:pos="720"/>
              </w:tabs>
              <w:rPr>
                <w:b/>
              </w:rPr>
            </w:pPr>
            <w:r>
              <w:rPr>
                <w:b/>
              </w:rPr>
              <w:t>Scenario</w:t>
            </w:r>
          </w:p>
        </w:tc>
      </w:tr>
      <w:tr>
        <w:tc>
          <w:tcPr>
            <w:tcW w:w="1795" w:type="dxa"/>
          </w:tcPr>
          <w:p>
            <w:pPr>
              <w:tabs>
                <w:tab w:val="num" w:pos="720"/>
              </w:tabs>
            </w:pPr>
            <w:r>
              <w:t>Private Networks</w:t>
            </w:r>
          </w:p>
        </w:tc>
        <w:tc>
          <w:tcPr>
            <w:tcW w:w="4579" w:type="dxa"/>
          </w:tcPr>
          <w:p>
            <w:pPr>
              <w:tabs>
                <w:tab w:val="num" w:pos="720"/>
              </w:tabs>
            </w:pPr>
            <w:r>
              <w:t xml:space="preserve">Enable easy and cost-effective deployment of industrial private networks including non-public and closed group access </w:t>
            </w:r>
          </w:p>
        </w:tc>
        <w:tc>
          <w:tcPr>
            <w:tcW w:w="3255" w:type="dxa"/>
          </w:tcPr>
          <w:p>
            <w:pPr>
              <w:tabs>
                <w:tab w:val="num" w:pos="720"/>
              </w:tabs>
            </w:pPr>
            <w:r>
              <w:t>Indoor hotpots, dense urban, fixed access, mobile hotspots</w:t>
            </w:r>
          </w:p>
        </w:tc>
      </w:tr>
      <w:tr>
        <w:tc>
          <w:tcPr>
            <w:tcW w:w="1795" w:type="dxa"/>
          </w:tcPr>
          <w:p>
            <w:pPr>
              <w:tabs>
                <w:tab w:val="num" w:pos="720"/>
              </w:tabs>
            </w:pPr>
            <w:r>
              <w:t>Time Sensitive Networks</w:t>
            </w:r>
          </w:p>
        </w:tc>
        <w:tc>
          <w:tcPr>
            <w:tcW w:w="4579" w:type="dxa"/>
          </w:tcPr>
          <w:p>
            <w:pPr>
              <w:tabs>
                <w:tab w:val="num" w:pos="720"/>
              </w:tabs>
            </w:pPr>
            <w:r>
              <w:t>High resolution time synchronization, low delay jitter, guaranteed delay constraints</w:t>
            </w:r>
          </w:p>
        </w:tc>
        <w:tc>
          <w:tcPr>
            <w:tcW w:w="3255" w:type="dxa"/>
          </w:tcPr>
          <w:p>
            <w:pPr>
              <w:tabs>
                <w:tab w:val="num" w:pos="720"/>
              </w:tabs>
            </w:pPr>
            <w:r>
              <w:t>Indoor hotspots, dense urban, fixed access</w:t>
            </w:r>
          </w:p>
        </w:tc>
      </w:tr>
      <w:tr>
        <w:tc>
          <w:tcPr>
            <w:tcW w:w="1795" w:type="dxa"/>
          </w:tcPr>
          <w:p>
            <w:pPr>
              <w:tabs>
                <w:tab w:val="num" w:pos="720"/>
              </w:tabs>
            </w:pPr>
            <w:r>
              <w:t>High Accuracy Positioning</w:t>
            </w:r>
          </w:p>
        </w:tc>
        <w:tc>
          <w:tcPr>
            <w:tcW w:w="4579" w:type="dxa"/>
          </w:tcPr>
          <w:p>
            <w:pPr>
              <w:tabs>
                <w:tab w:val="num" w:pos="720"/>
              </w:tabs>
              <w:spacing w:line="259" w:lineRule="auto"/>
            </w:pPr>
            <w:r>
              <w:t>Indoor spaces and dense deployments will benefit from greater spatial resolution allowing operators and private networks to offer new targeted services and solutions</w:t>
            </w:r>
          </w:p>
        </w:tc>
        <w:tc>
          <w:tcPr>
            <w:tcW w:w="3255" w:type="dxa"/>
          </w:tcPr>
          <w:p>
            <w:pPr>
              <w:tabs>
                <w:tab w:val="num" w:pos="720"/>
              </w:tabs>
            </w:pPr>
            <w:r>
              <w:t>Indoor hotpots, dense urban</w:t>
            </w:r>
          </w:p>
        </w:tc>
      </w:tr>
      <w:tr>
        <w:tc>
          <w:tcPr>
            <w:tcW w:w="1795" w:type="dxa"/>
          </w:tcPr>
          <w:p>
            <w:pPr>
              <w:tabs>
                <w:tab w:val="num" w:pos="720"/>
              </w:tabs>
            </w:pPr>
            <w:r>
              <w:t>Environmental Sensing</w:t>
            </w:r>
          </w:p>
        </w:tc>
        <w:tc>
          <w:tcPr>
            <w:tcW w:w="4579" w:type="dxa"/>
          </w:tcPr>
          <w:p>
            <w:pPr>
              <w:tabs>
                <w:tab w:val="num" w:pos="720"/>
              </w:tabs>
            </w:pPr>
            <w:r>
              <w:t>Support for radar applications identifying objects in the environment and their respective motion</w:t>
            </w:r>
          </w:p>
        </w:tc>
        <w:tc>
          <w:tcPr>
            <w:tcW w:w="3255" w:type="dxa"/>
          </w:tcPr>
          <w:p>
            <w:pPr>
              <w:tabs>
                <w:tab w:val="num" w:pos="720"/>
              </w:tabs>
            </w:pPr>
            <w:r>
              <w:t>Indoor hotpots, dense urban</w:t>
            </w:r>
          </w:p>
        </w:tc>
      </w:tr>
      <w:tr>
        <w:tc>
          <w:tcPr>
            <w:tcW w:w="1795" w:type="dxa"/>
          </w:tcPr>
          <w:p>
            <w:pPr>
              <w:tabs>
                <w:tab w:val="num" w:pos="720"/>
              </w:tabs>
            </w:pPr>
            <w:r>
              <w:t>Audio-visual interaction (AR/VR)</w:t>
            </w:r>
          </w:p>
        </w:tc>
        <w:tc>
          <w:tcPr>
            <w:tcW w:w="4579" w:type="dxa"/>
          </w:tcPr>
          <w:p>
            <w:pPr>
              <w:tabs>
                <w:tab w:val="num" w:pos="720"/>
              </w:tabs>
            </w:pPr>
            <w:r>
              <w:t>Augmented reality relies on substantial sensor information to process and resolve the environment.  The higher bandwidths may improve both sensor resolution and reduce latency</w:t>
            </w:r>
          </w:p>
        </w:tc>
        <w:tc>
          <w:tcPr>
            <w:tcW w:w="3255" w:type="dxa"/>
          </w:tcPr>
          <w:p>
            <w:pPr>
              <w:tabs>
                <w:tab w:val="num" w:pos="720"/>
              </w:tabs>
            </w:pPr>
            <w:r>
              <w:t>Indoor hotpots, dense urban, fixed access, mobile hotspots</w:t>
            </w:r>
          </w:p>
        </w:tc>
      </w:tr>
    </w:tbl>
    <w:p/>
    <w:p>
      <w:pPr>
        <w:tabs>
          <w:tab w:val="num" w:pos="720"/>
        </w:tabs>
        <w:jc w:val="both"/>
        <w:rPr>
          <w:lang w:val="en-US"/>
        </w:rPr>
      </w:pPr>
    </w:p>
    <w:p>
      <w:pPr>
        <w:keepNext/>
        <w:tabs>
          <w:tab w:val="num" w:pos="720"/>
        </w:tabs>
        <w:jc w:val="both"/>
        <w:rPr>
          <w:b/>
          <w:bCs/>
        </w:rPr>
      </w:pPr>
      <w:r>
        <w:rPr>
          <w:b/>
          <w:bCs/>
        </w:rPr>
        <w:lastRenderedPageBreak/>
        <w:t xml:space="preserve">Table </w:t>
      </w:r>
      <w:r>
        <w:fldChar w:fldCharType="begin"/>
      </w:r>
      <w:r>
        <w:instrText xml:space="preserve"> SEQ Table \* ARABIC </w:instrText>
      </w:r>
      <w:r>
        <w:fldChar w:fldCharType="separate"/>
      </w:r>
      <w:r>
        <w:rPr>
          <w:noProof/>
        </w:rPr>
        <w:t>2</w:t>
      </w:r>
      <w:r>
        <w:fldChar w:fldCharType="end"/>
      </w:r>
      <w:r>
        <w:rPr>
          <w:b/>
          <w:bCs/>
        </w:rPr>
        <w:t xml:space="preserve"> Deployment scenarios</w:t>
      </w:r>
    </w:p>
    <w:tbl>
      <w:tblPr>
        <w:tblStyle w:val="TableGrid"/>
        <w:tblpPr w:leftFromText="180" w:rightFromText="180" w:vertAnchor="text" w:horzAnchor="margin" w:tblpY="-33"/>
        <w:tblW w:w="0" w:type="auto"/>
        <w:tblLook w:val="04A0" w:firstRow="1" w:lastRow="0" w:firstColumn="1" w:lastColumn="0" w:noHBand="0" w:noVBand="1"/>
      </w:tblPr>
      <w:tblGrid>
        <w:gridCol w:w="1487"/>
        <w:gridCol w:w="4887"/>
        <w:gridCol w:w="3255"/>
      </w:tblGrid>
      <w:tr>
        <w:tc>
          <w:tcPr>
            <w:tcW w:w="1487" w:type="dxa"/>
            <w:shd w:val="clear" w:color="auto" w:fill="E7E6E6" w:themeFill="background2"/>
          </w:tcPr>
          <w:p>
            <w:pPr>
              <w:tabs>
                <w:tab w:val="num" w:pos="720"/>
              </w:tabs>
              <w:rPr>
                <w:b/>
              </w:rPr>
            </w:pPr>
            <w:r>
              <w:rPr>
                <w:b/>
              </w:rPr>
              <w:t>Scenario</w:t>
            </w:r>
          </w:p>
        </w:tc>
        <w:tc>
          <w:tcPr>
            <w:tcW w:w="4887" w:type="dxa"/>
            <w:shd w:val="clear" w:color="auto" w:fill="E7E6E6" w:themeFill="background2"/>
          </w:tcPr>
          <w:p>
            <w:pPr>
              <w:tabs>
                <w:tab w:val="num" w:pos="720"/>
              </w:tabs>
              <w:rPr>
                <w:b/>
              </w:rPr>
            </w:pPr>
            <w:r>
              <w:rPr>
                <w:b/>
              </w:rPr>
              <w:t>Description</w:t>
            </w:r>
          </w:p>
        </w:tc>
        <w:tc>
          <w:tcPr>
            <w:tcW w:w="3255" w:type="dxa"/>
            <w:shd w:val="clear" w:color="auto" w:fill="E7E6E6" w:themeFill="background2"/>
          </w:tcPr>
          <w:p>
            <w:pPr>
              <w:tabs>
                <w:tab w:val="num" w:pos="720"/>
              </w:tabs>
              <w:rPr>
                <w:b/>
              </w:rPr>
            </w:pPr>
            <w:r>
              <w:rPr>
                <w:b/>
              </w:rPr>
              <w:t>Demand</w:t>
            </w:r>
          </w:p>
        </w:tc>
      </w:tr>
      <w:tr>
        <w:tc>
          <w:tcPr>
            <w:tcW w:w="1487" w:type="dxa"/>
          </w:tcPr>
          <w:p>
            <w:pPr>
              <w:tabs>
                <w:tab w:val="num" w:pos="720"/>
              </w:tabs>
            </w:pPr>
            <w:r>
              <w:t>Integrated Access and Backhaul (IAB)</w:t>
            </w:r>
          </w:p>
        </w:tc>
        <w:tc>
          <w:tcPr>
            <w:tcW w:w="4887" w:type="dxa"/>
          </w:tcPr>
          <w:p>
            <w:pPr>
              <w:tabs>
                <w:tab w:val="num" w:pos="720"/>
              </w:tabs>
            </w:pPr>
            <w:r>
              <w:t>Network densification in urban environment: Small cells mounted on street furniture backhauled to a macro base station sited on a tall building</w:t>
            </w:r>
          </w:p>
        </w:tc>
        <w:tc>
          <w:tcPr>
            <w:tcW w:w="3255" w:type="dxa"/>
          </w:tcPr>
          <w:p>
            <w:pPr>
              <w:tabs>
                <w:tab w:val="num" w:pos="720"/>
              </w:tabs>
            </w:pPr>
            <w:r>
              <w:t>Tens Gbps data rate, few hundred meters link distances</w:t>
            </w:r>
          </w:p>
        </w:tc>
      </w:tr>
      <w:tr>
        <w:tc>
          <w:tcPr>
            <w:tcW w:w="1487" w:type="dxa"/>
          </w:tcPr>
          <w:p>
            <w:pPr>
              <w:tabs>
                <w:tab w:val="num" w:pos="720"/>
              </w:tabs>
            </w:pPr>
            <w:r>
              <w:t>Mobile hotspots</w:t>
            </w:r>
          </w:p>
        </w:tc>
        <w:tc>
          <w:tcPr>
            <w:tcW w:w="4887" w:type="dxa"/>
          </w:tcPr>
          <w:p>
            <w:pPr>
              <w:tabs>
                <w:tab w:val="num" w:pos="720"/>
              </w:tabs>
            </w:pPr>
            <w:r>
              <w:t xml:space="preserve">Backhaul for moving vehicles with high capacity demand like high speed train, bus, plane or boat in rural environment and line of sight conditions. UE’s are connected to the network via an on-board moving base station </w:t>
            </w:r>
          </w:p>
        </w:tc>
        <w:tc>
          <w:tcPr>
            <w:tcW w:w="3255" w:type="dxa"/>
          </w:tcPr>
          <w:p>
            <w:pPr>
              <w:tabs>
                <w:tab w:val="num" w:pos="720"/>
              </w:tabs>
            </w:pPr>
            <w:r>
              <w:t xml:space="preserve">Data rate 15/7.5 Gbps per train [2], up to few km link distances </w:t>
            </w:r>
          </w:p>
        </w:tc>
      </w:tr>
      <w:tr>
        <w:tc>
          <w:tcPr>
            <w:tcW w:w="1487" w:type="dxa"/>
          </w:tcPr>
          <w:p>
            <w:pPr>
              <w:tabs>
                <w:tab w:val="num" w:pos="720"/>
              </w:tabs>
            </w:pPr>
            <w:r>
              <w:t>Fixed Wireless Access</w:t>
            </w:r>
          </w:p>
        </w:tc>
        <w:tc>
          <w:tcPr>
            <w:tcW w:w="4887" w:type="dxa"/>
          </w:tcPr>
          <w:p>
            <w:pPr>
              <w:tabs>
                <w:tab w:val="num" w:pos="720"/>
              </w:tabs>
            </w:pPr>
            <w:r>
              <w:t xml:space="preserve">Wireless broadband to the home in residential sub-urban environment  </w:t>
            </w:r>
          </w:p>
        </w:tc>
        <w:tc>
          <w:tcPr>
            <w:tcW w:w="3255" w:type="dxa"/>
          </w:tcPr>
          <w:p>
            <w:pPr>
              <w:tabs>
                <w:tab w:val="num" w:pos="720"/>
              </w:tabs>
            </w:pPr>
            <w:r>
              <w:t xml:space="preserve">1 Gbps data rate, </w:t>
            </w:r>
            <w:r>
              <w:rPr>
                <w:rFonts w:eastAsia="Times New Roman"/>
              </w:rPr>
              <w:t>few hundred meters link distances</w:t>
            </w:r>
          </w:p>
        </w:tc>
      </w:tr>
      <w:tr>
        <w:tc>
          <w:tcPr>
            <w:tcW w:w="1487" w:type="dxa"/>
          </w:tcPr>
          <w:p>
            <w:pPr>
              <w:tabs>
                <w:tab w:val="num" w:pos="720"/>
              </w:tabs>
            </w:pPr>
            <w:r>
              <w:t>Dense Urban</w:t>
            </w:r>
          </w:p>
        </w:tc>
        <w:tc>
          <w:tcPr>
            <w:tcW w:w="4887" w:type="dxa"/>
          </w:tcPr>
          <w:p>
            <w:pPr>
              <w:tabs>
                <w:tab w:val="num" w:pos="720"/>
              </w:tabs>
            </w:pPr>
            <w:r>
              <w:t>Small outdoor cells for high traffic hot spots, very high capacity</w:t>
            </w:r>
          </w:p>
        </w:tc>
        <w:tc>
          <w:tcPr>
            <w:tcW w:w="3255" w:type="dxa"/>
          </w:tcPr>
          <w:p>
            <w:pPr>
              <w:tabs>
                <w:tab w:val="num" w:pos="720"/>
              </w:tabs>
            </w:pPr>
            <w:r>
              <w:t>Up to [200] meter cell size</w:t>
            </w:r>
          </w:p>
        </w:tc>
      </w:tr>
      <w:tr>
        <w:tc>
          <w:tcPr>
            <w:tcW w:w="1487" w:type="dxa"/>
          </w:tcPr>
          <w:p>
            <w:pPr>
              <w:tabs>
                <w:tab w:val="num" w:pos="720"/>
              </w:tabs>
            </w:pPr>
            <w:r>
              <w:t>Indoor hotspot</w:t>
            </w:r>
          </w:p>
        </w:tc>
        <w:tc>
          <w:tcPr>
            <w:tcW w:w="4887" w:type="dxa"/>
          </w:tcPr>
          <w:p>
            <w:pPr>
              <w:tabs>
                <w:tab w:val="num" w:pos="720"/>
              </w:tabs>
            </w:pPr>
            <w:r>
              <w:t>Indoor small cells, high user density, high capacity, small coverage and low mobility</w:t>
            </w:r>
          </w:p>
        </w:tc>
        <w:tc>
          <w:tcPr>
            <w:tcW w:w="3255" w:type="dxa"/>
          </w:tcPr>
          <w:p>
            <w:pPr>
              <w:tabs>
                <w:tab w:val="num" w:pos="720"/>
              </w:tabs>
            </w:pPr>
            <w:r>
              <w:t xml:space="preserve">Capacity, data rates 1/0.5 Gbps [2], up to [100] meter cell size </w:t>
            </w:r>
          </w:p>
        </w:tc>
      </w:tr>
    </w:tbl>
    <w:p>
      <w:pPr>
        <w:tabs>
          <w:tab w:val="num" w:pos="720"/>
        </w:tabs>
        <w:jc w:val="both"/>
      </w:pPr>
    </w:p>
    <w:p>
      <w:pPr>
        <w:tabs>
          <w:tab w:val="num" w:pos="720"/>
        </w:tabs>
        <w:jc w:val="both"/>
      </w:pPr>
    </w:p>
    <w:p>
      <w:pPr>
        <w:pStyle w:val="Caption"/>
        <w:keepNext/>
      </w:pPr>
    </w:p>
    <w:p>
      <w:pPr>
        <w:pStyle w:val="Heading1"/>
      </w:pPr>
      <w:r>
        <w:t>Summary</w:t>
      </w:r>
    </w:p>
    <w:p>
      <w:pPr>
        <w:rPr>
          <w:lang w:val="en-US"/>
        </w:rPr>
      </w:pPr>
      <w:r>
        <w:t xml:space="preserve">This document proposes </w:t>
      </w:r>
      <w:r>
        <w:rPr>
          <w:lang w:val="en-US"/>
        </w:rPr>
        <w:t>use cases and deployment scenarios for NR beyond 52.6 GHz. The use cases and deployment scenarios are illustrated in Tables 1 and 2, respectively.   The use cases in Table 1 include private networks, time sensitive networks, high accuracy positioning, environmental sensing and audio/visual interaction.  The deployment scenarios in Table 2 include backhaul, mobile hotspots, fixed wireless, dense urban and indoor hotspots.</w:t>
      </w:r>
    </w:p>
    <w:p>
      <w:pPr>
        <w:jc w:val="both"/>
        <w:rPr>
          <w:lang w:val="en-US"/>
        </w:rPr>
      </w:pPr>
    </w:p>
    <w:p>
      <w:pPr>
        <w:overflowPunct/>
        <w:autoSpaceDE/>
        <w:autoSpaceDN/>
        <w:adjustRightInd/>
        <w:spacing w:after="0"/>
        <w:textAlignment w:val="auto"/>
      </w:pPr>
      <w:r>
        <w:t xml:space="preserve"> </w:t>
      </w:r>
    </w:p>
    <w:p>
      <w:pPr>
        <w:pStyle w:val="Heading1"/>
        <w:numPr>
          <w:ilvl w:val="0"/>
          <w:numId w:val="0"/>
        </w:numPr>
      </w:pPr>
      <w:r>
        <w:t>References</w:t>
      </w:r>
    </w:p>
    <w:p>
      <w:pPr>
        <w:numPr>
          <w:ilvl w:val="0"/>
          <w:numId w:val="22"/>
        </w:numPr>
        <w:tabs>
          <w:tab w:val="num" w:pos="360"/>
        </w:tabs>
        <w:ind w:left="357" w:hanging="357"/>
        <w:rPr>
          <w:sz w:val="18"/>
        </w:rPr>
      </w:pPr>
      <w:bookmarkStart w:id="3" w:name="_Ref531024887"/>
      <w:r>
        <w:rPr>
          <w:sz w:val="18"/>
        </w:rPr>
        <w:t>RP-182066</w:t>
      </w:r>
      <w:r>
        <w:rPr>
          <w:sz w:val="18"/>
        </w:rPr>
        <w:tab/>
        <w:t>Revised SID on Study on NR beyond 52.6GHz</w:t>
      </w:r>
      <w:bookmarkEnd w:id="3"/>
    </w:p>
    <w:p>
      <w:pPr>
        <w:numPr>
          <w:ilvl w:val="0"/>
          <w:numId w:val="22"/>
        </w:numPr>
        <w:tabs>
          <w:tab w:val="num" w:pos="360"/>
        </w:tabs>
        <w:ind w:left="357" w:hanging="357"/>
        <w:rPr>
          <w:sz w:val="18"/>
          <w:szCs w:val="18"/>
        </w:rPr>
      </w:pPr>
      <w:bookmarkStart w:id="4" w:name="_Ref531024857"/>
      <w:r>
        <w:rPr>
          <w:sz w:val="18"/>
          <w:szCs w:val="18"/>
        </w:rPr>
        <w:t xml:space="preserve">3GPP TS 22.261 V16.6.0 (2018-12) </w:t>
      </w:r>
      <w:r>
        <w:rPr>
          <w:sz w:val="18"/>
        </w:rPr>
        <w:tab/>
      </w:r>
      <w:r>
        <w:rPr>
          <w:sz w:val="18"/>
          <w:szCs w:val="18"/>
        </w:rPr>
        <w:t>“</w:t>
      </w:r>
      <w:bookmarkEnd w:id="4"/>
      <w:r>
        <w:rPr>
          <w:sz w:val="18"/>
          <w:szCs w:val="18"/>
        </w:rPr>
        <w:t xml:space="preserve">Service requirements for the 5G system’’ </w:t>
      </w:r>
    </w:p>
    <w:p>
      <w:pPr>
        <w:rPr>
          <w:lang w:val="en-US"/>
        </w:rPr>
      </w:pPr>
    </w:p>
    <w:p>
      <w:pPr>
        <w:rPr>
          <w:lang w:val="en-US"/>
        </w:rPr>
      </w:pPr>
    </w:p>
    <w:p>
      <w:pPr>
        <w:rPr>
          <w:lang w:val="en-US"/>
        </w:rPr>
      </w:pPr>
    </w:p>
    <w:p>
      <w:pPr>
        <w:overflowPunct/>
        <w:autoSpaceDE/>
        <w:autoSpaceDN/>
        <w:adjustRightInd/>
        <w:spacing w:after="0"/>
        <w:textAlignment w:val="auto"/>
        <w:rPr>
          <w:lang w:val="en-US"/>
        </w:rPr>
      </w:pPr>
    </w:p>
    <w:sectPr>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E01"/>
    <w:multiLevelType w:val="hybridMultilevel"/>
    <w:tmpl w:val="3878C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593A22"/>
    <w:multiLevelType w:val="hybridMultilevel"/>
    <w:tmpl w:val="80D6FD12"/>
    <w:lvl w:ilvl="0" w:tplc="040B000F">
      <w:start w:val="1"/>
      <w:numFmt w:val="decimal"/>
      <w:lvlText w:val="%1."/>
      <w:lvlJc w:val="left"/>
      <w:pPr>
        <w:ind w:left="360" w:hanging="360"/>
      </w:pPr>
    </w:lvl>
    <w:lvl w:ilvl="1" w:tplc="040B0001">
      <w:start w:val="1"/>
      <w:numFmt w:val="bullet"/>
      <w:lvlText w:val=""/>
      <w:lvlJc w:val="left"/>
      <w:pPr>
        <w:ind w:left="1080" w:hanging="360"/>
      </w:pPr>
      <w:rPr>
        <w:rFonts w:ascii="Symbol" w:hAnsi="Symbol" w:hint="default"/>
      </w:r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426DCE"/>
    <w:multiLevelType w:val="hybridMultilevel"/>
    <w:tmpl w:val="929C06D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B21"/>
    <w:multiLevelType w:val="hybridMultilevel"/>
    <w:tmpl w:val="7842014C"/>
    <w:lvl w:ilvl="0" w:tplc="2CE0F766">
      <w:start w:val="1"/>
      <w:numFmt w:val="bullet"/>
      <w:lvlText w:val="•"/>
      <w:lvlJc w:val="left"/>
      <w:pPr>
        <w:tabs>
          <w:tab w:val="num" w:pos="720"/>
        </w:tabs>
        <w:ind w:left="720" w:hanging="360"/>
      </w:pPr>
      <w:rPr>
        <w:rFonts w:ascii="Arial" w:hAnsi="Arial" w:hint="default"/>
      </w:rPr>
    </w:lvl>
    <w:lvl w:ilvl="1" w:tplc="900489EA" w:tentative="1">
      <w:start w:val="1"/>
      <w:numFmt w:val="bullet"/>
      <w:lvlText w:val="•"/>
      <w:lvlJc w:val="left"/>
      <w:pPr>
        <w:tabs>
          <w:tab w:val="num" w:pos="1440"/>
        </w:tabs>
        <w:ind w:left="1440" w:hanging="360"/>
      </w:pPr>
      <w:rPr>
        <w:rFonts w:ascii="Arial" w:hAnsi="Arial" w:hint="default"/>
      </w:rPr>
    </w:lvl>
    <w:lvl w:ilvl="2" w:tplc="39BAFB7C" w:tentative="1">
      <w:start w:val="1"/>
      <w:numFmt w:val="bullet"/>
      <w:lvlText w:val="•"/>
      <w:lvlJc w:val="left"/>
      <w:pPr>
        <w:tabs>
          <w:tab w:val="num" w:pos="2160"/>
        </w:tabs>
        <w:ind w:left="2160" w:hanging="360"/>
      </w:pPr>
      <w:rPr>
        <w:rFonts w:ascii="Arial" w:hAnsi="Arial" w:hint="default"/>
      </w:rPr>
    </w:lvl>
    <w:lvl w:ilvl="3" w:tplc="84787110" w:tentative="1">
      <w:start w:val="1"/>
      <w:numFmt w:val="bullet"/>
      <w:lvlText w:val="•"/>
      <w:lvlJc w:val="left"/>
      <w:pPr>
        <w:tabs>
          <w:tab w:val="num" w:pos="2880"/>
        </w:tabs>
        <w:ind w:left="2880" w:hanging="360"/>
      </w:pPr>
      <w:rPr>
        <w:rFonts w:ascii="Arial" w:hAnsi="Arial" w:hint="default"/>
      </w:rPr>
    </w:lvl>
    <w:lvl w:ilvl="4" w:tplc="0C545E4A" w:tentative="1">
      <w:start w:val="1"/>
      <w:numFmt w:val="bullet"/>
      <w:lvlText w:val="•"/>
      <w:lvlJc w:val="left"/>
      <w:pPr>
        <w:tabs>
          <w:tab w:val="num" w:pos="3600"/>
        </w:tabs>
        <w:ind w:left="3600" w:hanging="360"/>
      </w:pPr>
      <w:rPr>
        <w:rFonts w:ascii="Arial" w:hAnsi="Arial" w:hint="default"/>
      </w:rPr>
    </w:lvl>
    <w:lvl w:ilvl="5" w:tplc="ABC08DC4" w:tentative="1">
      <w:start w:val="1"/>
      <w:numFmt w:val="bullet"/>
      <w:lvlText w:val="•"/>
      <w:lvlJc w:val="left"/>
      <w:pPr>
        <w:tabs>
          <w:tab w:val="num" w:pos="4320"/>
        </w:tabs>
        <w:ind w:left="4320" w:hanging="360"/>
      </w:pPr>
      <w:rPr>
        <w:rFonts w:ascii="Arial" w:hAnsi="Arial" w:hint="default"/>
      </w:rPr>
    </w:lvl>
    <w:lvl w:ilvl="6" w:tplc="33A010DE" w:tentative="1">
      <w:start w:val="1"/>
      <w:numFmt w:val="bullet"/>
      <w:lvlText w:val="•"/>
      <w:lvlJc w:val="left"/>
      <w:pPr>
        <w:tabs>
          <w:tab w:val="num" w:pos="5040"/>
        </w:tabs>
        <w:ind w:left="5040" w:hanging="360"/>
      </w:pPr>
      <w:rPr>
        <w:rFonts w:ascii="Arial" w:hAnsi="Arial" w:hint="default"/>
      </w:rPr>
    </w:lvl>
    <w:lvl w:ilvl="7" w:tplc="60D8D7F4" w:tentative="1">
      <w:start w:val="1"/>
      <w:numFmt w:val="bullet"/>
      <w:lvlText w:val="•"/>
      <w:lvlJc w:val="left"/>
      <w:pPr>
        <w:tabs>
          <w:tab w:val="num" w:pos="5760"/>
        </w:tabs>
        <w:ind w:left="5760" w:hanging="360"/>
      </w:pPr>
      <w:rPr>
        <w:rFonts w:ascii="Arial" w:hAnsi="Arial" w:hint="default"/>
      </w:rPr>
    </w:lvl>
    <w:lvl w:ilvl="8" w:tplc="3900F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5FC4F9A"/>
    <w:multiLevelType w:val="hybridMultilevel"/>
    <w:tmpl w:val="06DEB63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005794"/>
    <w:multiLevelType w:val="hybridMultilevel"/>
    <w:tmpl w:val="1B4A6D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1"/>
  </w:num>
  <w:num w:numId="4">
    <w:abstractNumId w:val="2"/>
  </w:num>
  <w:num w:numId="5">
    <w:abstractNumId w:val="12"/>
  </w:num>
  <w:num w:numId="6">
    <w:abstractNumId w:val="20"/>
  </w:num>
  <w:num w:numId="7">
    <w:abstractNumId w:val="15"/>
  </w:num>
  <w:num w:numId="8">
    <w:abstractNumId w:val="11"/>
  </w:num>
  <w:num w:numId="9">
    <w:abstractNumId w:val="22"/>
  </w:num>
  <w:num w:numId="10">
    <w:abstractNumId w:val="5"/>
  </w:num>
  <w:num w:numId="11">
    <w:abstractNumId w:val="16"/>
  </w:num>
  <w:num w:numId="12">
    <w:abstractNumId w:val="4"/>
  </w:num>
  <w:num w:numId="13">
    <w:abstractNumId w:val="10"/>
  </w:num>
  <w:num w:numId="14">
    <w:abstractNumId w:val="17"/>
  </w:num>
  <w:num w:numId="15">
    <w:abstractNumId w:val="10"/>
  </w:num>
  <w:num w:numId="16">
    <w:abstractNumId w:val="18"/>
  </w:num>
  <w:num w:numId="17">
    <w:abstractNumId w:val="8"/>
  </w:num>
  <w:num w:numId="18">
    <w:abstractNumId w:val="14"/>
  </w:num>
  <w:num w:numId="19">
    <w:abstractNumId w:val="7"/>
  </w:num>
  <w:num w:numId="20">
    <w:abstractNumId w:val="23"/>
  </w:num>
  <w:num w:numId="21">
    <w:abstractNumId w:val="0"/>
  </w:num>
  <w:num w:numId="22">
    <w:abstractNumId w:val="21"/>
  </w:num>
  <w:num w:numId="23">
    <w:abstractNumId w:val="13"/>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DocumentMap">
    <w:name w:val="Document Map"/>
    <w:basedOn w:val="Normal"/>
    <w:semiHidden/>
    <w:pPr>
      <w:shd w:val="clear" w:color="auto" w:fill="000080"/>
    </w:pPr>
    <w:rPr>
      <w:rFonts w:ascii="Tahoma" w:hAnsi="Tahoma" w:cs="Tahoma"/>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Revision">
    <w:name w:val="Revision"/>
    <w:hidden/>
    <w:uiPriority w:val="99"/>
    <w:semiHidden/>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character" w:styleId="FollowedHyperlink">
    <w:name w:val="FollowedHyperlink"/>
    <w:semiHidden/>
    <w:unhideWhenUsed/>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rPr>
  </w:style>
  <w:style w:type="character" w:customStyle="1" w:styleId="Heading1Char">
    <w:name w:val="Heading 1 Char"/>
    <w:aliases w:val="H1 Char,h1 Char,Heading 1 3GPP Char"/>
    <w:basedOn w:val="DefaultParagraphFont"/>
    <w:link w:val="Heading1"/>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Pr>
      <w:rFonts w:ascii="Arial" w:hAnsi="Arial"/>
      <w:sz w:val="32"/>
      <w:lang w:val="en-GB"/>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rPr>
      <w:rFonts w:ascii="Arial" w:hAnsi="Arial"/>
      <w:b/>
      <w:sz w:val="18"/>
      <w:lang w:val="en-GB"/>
    </w:rPr>
  </w:style>
  <w:style w:type="paragraph" w:styleId="NoSpacing">
    <w:name w:val="No Spacing"/>
    <w:uiPriority w:val="1"/>
    <w:qFormat/>
    <w:rPr>
      <w:rFonts w:ascii="Arial" w:eastAsia="Times New Roman" w:hAnsi="Arial"/>
      <w:sz w:val="22"/>
      <w:lang w:val="en-GB"/>
    </w:rPr>
  </w:style>
  <w:style w:type="character" w:customStyle="1" w:styleId="TALCar">
    <w:name w:val="TAL Car"/>
    <w:link w:val="TAL"/>
    <w:rPr>
      <w:rFonts w:ascii="Arial" w:hAnsi="Arial"/>
      <w:sz w:val="18"/>
      <w:lang w:val="en-GB"/>
    </w:rPr>
  </w:style>
  <w:style w:type="paragraph" w:customStyle="1" w:styleId="psection-2">
    <w:name w:val="psection-2"/>
    <w:basedOn w:val="Normal"/>
    <w:pPr>
      <w:overflowPunct/>
      <w:autoSpaceDE/>
      <w:autoSpaceDN/>
      <w:adjustRightInd/>
      <w:spacing w:after="150"/>
      <w:ind w:left="240"/>
      <w:textAlignment w:val="auto"/>
    </w:pPr>
    <w:rPr>
      <w:rFonts w:eastAsia="Times New Roman"/>
      <w:sz w:val="24"/>
      <w:szCs w:val="24"/>
      <w:lang w:val="en-US"/>
    </w:rPr>
  </w:style>
  <w:style w:type="character" w:customStyle="1" w:styleId="enumxml1">
    <w:name w:val="enumxml1"/>
    <w:basedOn w:val="DefaultParagraphFont"/>
    <w:rPr>
      <w:b/>
      <w:bCs/>
    </w:rPr>
  </w:style>
  <w:style w:type="character" w:customStyle="1" w:styleId="su1">
    <w:name w:val="su1"/>
    <w:basedOn w:val="DefaultParagraphFont"/>
    <w:rPr>
      <w:vanish w:val="0"/>
      <w:webHidden w:val="0"/>
      <w:sz w:val="17"/>
      <w:szCs w:val="17"/>
      <w:vertAlign w:val="baseline"/>
      <w:specVanish w:val="0"/>
    </w:r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432110">
      <w:bodyDiv w:val="1"/>
      <w:marLeft w:val="0"/>
      <w:marRight w:val="0"/>
      <w:marTop w:val="0"/>
      <w:marBottom w:val="0"/>
      <w:divBdr>
        <w:top w:val="none" w:sz="0" w:space="0" w:color="auto"/>
        <w:left w:val="none" w:sz="0" w:space="0" w:color="auto"/>
        <w:bottom w:val="none" w:sz="0" w:space="0" w:color="auto"/>
        <w:right w:val="none" w:sz="0" w:space="0" w:color="auto"/>
      </w:divBdr>
      <w:divsChild>
        <w:div w:id="1151873655">
          <w:marLeft w:val="878"/>
          <w:marRight w:val="0"/>
          <w:marTop w:val="86"/>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944255">
      <w:bodyDiv w:val="1"/>
      <w:marLeft w:val="0"/>
      <w:marRight w:val="0"/>
      <w:marTop w:val="0"/>
      <w:marBottom w:val="0"/>
      <w:divBdr>
        <w:top w:val="none" w:sz="0" w:space="0" w:color="auto"/>
        <w:left w:val="none" w:sz="0" w:space="0" w:color="auto"/>
        <w:bottom w:val="none" w:sz="0" w:space="0" w:color="auto"/>
        <w:right w:val="none" w:sz="0" w:space="0" w:color="auto"/>
      </w:divBdr>
      <w:divsChild>
        <w:div w:id="589126040">
          <w:marLeft w:val="490"/>
          <w:marRight w:val="0"/>
          <w:marTop w:val="0"/>
          <w:marBottom w:val="16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145025">
      <w:bodyDiv w:val="1"/>
      <w:marLeft w:val="0"/>
      <w:marRight w:val="0"/>
      <w:marTop w:val="0"/>
      <w:marBottom w:val="0"/>
      <w:divBdr>
        <w:top w:val="none" w:sz="0" w:space="0" w:color="auto"/>
        <w:left w:val="none" w:sz="0" w:space="0" w:color="auto"/>
        <w:bottom w:val="none" w:sz="0" w:space="0" w:color="auto"/>
        <w:right w:val="none" w:sz="0" w:space="0" w:color="auto"/>
      </w:divBdr>
    </w:div>
    <w:div w:id="1101027965">
      <w:bodyDiv w:val="1"/>
      <w:marLeft w:val="0"/>
      <w:marRight w:val="0"/>
      <w:marTop w:val="0"/>
      <w:marBottom w:val="0"/>
      <w:divBdr>
        <w:top w:val="none" w:sz="0" w:space="0" w:color="auto"/>
        <w:left w:val="none" w:sz="0" w:space="0" w:color="auto"/>
        <w:bottom w:val="none" w:sz="0" w:space="0" w:color="auto"/>
        <w:right w:val="none" w:sz="0" w:space="0" w:color="auto"/>
      </w:divBdr>
      <w:divsChild>
        <w:div w:id="677586818">
          <w:marLeft w:val="490"/>
          <w:marRight w:val="0"/>
          <w:marTop w:val="0"/>
          <w:marBottom w:val="16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673985">
      <w:bodyDiv w:val="1"/>
      <w:marLeft w:val="0"/>
      <w:marRight w:val="0"/>
      <w:marTop w:val="0"/>
      <w:marBottom w:val="0"/>
      <w:divBdr>
        <w:top w:val="none" w:sz="0" w:space="0" w:color="auto"/>
        <w:left w:val="none" w:sz="0" w:space="0" w:color="auto"/>
        <w:bottom w:val="none" w:sz="0" w:space="0" w:color="auto"/>
        <w:right w:val="none" w:sz="0" w:space="0" w:color="auto"/>
      </w:divBdr>
      <w:divsChild>
        <w:div w:id="1799369637">
          <w:marLeft w:val="0"/>
          <w:marRight w:val="0"/>
          <w:marTop w:val="0"/>
          <w:marBottom w:val="0"/>
          <w:divBdr>
            <w:top w:val="none" w:sz="0" w:space="0" w:color="auto"/>
            <w:left w:val="none" w:sz="0" w:space="0" w:color="auto"/>
            <w:bottom w:val="none" w:sz="0" w:space="0" w:color="auto"/>
            <w:right w:val="none" w:sz="0" w:space="0" w:color="auto"/>
          </w:divBdr>
          <w:divsChild>
            <w:div w:id="590889297">
              <w:marLeft w:val="0"/>
              <w:marRight w:val="0"/>
              <w:marTop w:val="0"/>
              <w:marBottom w:val="0"/>
              <w:divBdr>
                <w:top w:val="none" w:sz="0" w:space="0" w:color="auto"/>
                <w:left w:val="none" w:sz="0" w:space="0" w:color="auto"/>
                <w:bottom w:val="none" w:sz="0" w:space="0" w:color="auto"/>
                <w:right w:val="none" w:sz="0" w:space="0" w:color="auto"/>
              </w:divBdr>
              <w:divsChild>
                <w:div w:id="281033283">
                  <w:marLeft w:val="0"/>
                  <w:marRight w:val="0"/>
                  <w:marTop w:val="0"/>
                  <w:marBottom w:val="0"/>
                  <w:divBdr>
                    <w:top w:val="none" w:sz="0" w:space="0" w:color="auto"/>
                    <w:left w:val="none" w:sz="0" w:space="0" w:color="auto"/>
                    <w:bottom w:val="none" w:sz="0" w:space="0" w:color="auto"/>
                    <w:right w:val="none" w:sz="0" w:space="0" w:color="auto"/>
                  </w:divBdr>
                  <w:divsChild>
                    <w:div w:id="441847863">
                      <w:marLeft w:val="0"/>
                      <w:marRight w:val="0"/>
                      <w:marTop w:val="0"/>
                      <w:marBottom w:val="0"/>
                      <w:divBdr>
                        <w:top w:val="none" w:sz="0" w:space="0" w:color="auto"/>
                        <w:left w:val="none" w:sz="0" w:space="0" w:color="auto"/>
                        <w:bottom w:val="none" w:sz="0" w:space="0" w:color="auto"/>
                        <w:right w:val="none" w:sz="0" w:space="0" w:color="auto"/>
                      </w:divBdr>
                      <w:divsChild>
                        <w:div w:id="570039899">
                          <w:marLeft w:val="0"/>
                          <w:marRight w:val="0"/>
                          <w:marTop w:val="0"/>
                          <w:marBottom w:val="0"/>
                          <w:divBdr>
                            <w:top w:val="none" w:sz="0" w:space="0" w:color="auto"/>
                            <w:left w:val="none" w:sz="0" w:space="0" w:color="auto"/>
                            <w:bottom w:val="none" w:sz="0" w:space="0" w:color="auto"/>
                            <w:right w:val="none" w:sz="0" w:space="0" w:color="auto"/>
                          </w:divBdr>
                          <w:divsChild>
                            <w:div w:id="1893153226">
                              <w:marLeft w:val="0"/>
                              <w:marRight w:val="0"/>
                              <w:marTop w:val="0"/>
                              <w:marBottom w:val="0"/>
                              <w:divBdr>
                                <w:top w:val="none" w:sz="0" w:space="0" w:color="auto"/>
                                <w:left w:val="none" w:sz="0" w:space="0" w:color="auto"/>
                                <w:bottom w:val="none" w:sz="0" w:space="0" w:color="auto"/>
                                <w:right w:val="none" w:sz="0" w:space="0" w:color="auto"/>
                              </w:divBdr>
                              <w:divsChild>
                                <w:div w:id="1961105843">
                                  <w:marLeft w:val="0"/>
                                  <w:marRight w:val="0"/>
                                  <w:marTop w:val="0"/>
                                  <w:marBottom w:val="0"/>
                                  <w:divBdr>
                                    <w:top w:val="none" w:sz="0" w:space="0" w:color="auto"/>
                                    <w:left w:val="none" w:sz="0" w:space="0" w:color="auto"/>
                                    <w:bottom w:val="none" w:sz="0" w:space="0" w:color="auto"/>
                                    <w:right w:val="none" w:sz="0" w:space="0" w:color="auto"/>
                                  </w:divBdr>
                                  <w:divsChild>
                                    <w:div w:id="2119057702">
                                      <w:marLeft w:val="0"/>
                                      <w:marRight w:val="0"/>
                                      <w:marTop w:val="0"/>
                                      <w:marBottom w:val="0"/>
                                      <w:divBdr>
                                        <w:top w:val="none" w:sz="0" w:space="0" w:color="auto"/>
                                        <w:left w:val="none" w:sz="0" w:space="0" w:color="auto"/>
                                        <w:bottom w:val="none" w:sz="0" w:space="0" w:color="auto"/>
                                        <w:right w:val="none" w:sz="0" w:space="0" w:color="auto"/>
                                      </w:divBdr>
                                      <w:divsChild>
                                        <w:div w:id="363093619">
                                          <w:marLeft w:val="0"/>
                                          <w:marRight w:val="0"/>
                                          <w:marTop w:val="0"/>
                                          <w:marBottom w:val="0"/>
                                          <w:divBdr>
                                            <w:top w:val="none" w:sz="0" w:space="0" w:color="auto"/>
                                            <w:left w:val="none" w:sz="0" w:space="0" w:color="auto"/>
                                            <w:bottom w:val="none" w:sz="0" w:space="0" w:color="auto"/>
                                            <w:right w:val="none" w:sz="0" w:space="0" w:color="auto"/>
                                          </w:divBdr>
                                          <w:divsChild>
                                            <w:div w:id="867260433">
                                              <w:marLeft w:val="0"/>
                                              <w:marRight w:val="0"/>
                                              <w:marTop w:val="0"/>
                                              <w:marBottom w:val="0"/>
                                              <w:divBdr>
                                                <w:top w:val="none" w:sz="0" w:space="0" w:color="auto"/>
                                                <w:left w:val="none" w:sz="0" w:space="0" w:color="auto"/>
                                                <w:bottom w:val="none" w:sz="0" w:space="0" w:color="auto"/>
                                                <w:right w:val="none" w:sz="0" w:space="0" w:color="auto"/>
                                              </w:divBdr>
                                              <w:divsChild>
                                                <w:div w:id="59533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5737">
      <w:bodyDiv w:val="1"/>
      <w:marLeft w:val="0"/>
      <w:marRight w:val="0"/>
      <w:marTop w:val="0"/>
      <w:marBottom w:val="0"/>
      <w:divBdr>
        <w:top w:val="none" w:sz="0" w:space="0" w:color="auto"/>
        <w:left w:val="none" w:sz="0" w:space="0" w:color="auto"/>
        <w:bottom w:val="none" w:sz="0" w:space="0" w:color="auto"/>
        <w:right w:val="none" w:sz="0" w:space="0" w:color="auto"/>
      </w:divBdr>
    </w:div>
    <w:div w:id="1263342949">
      <w:bodyDiv w:val="1"/>
      <w:marLeft w:val="0"/>
      <w:marRight w:val="0"/>
      <w:marTop w:val="0"/>
      <w:marBottom w:val="0"/>
      <w:divBdr>
        <w:top w:val="none" w:sz="0" w:space="0" w:color="auto"/>
        <w:left w:val="none" w:sz="0" w:space="0" w:color="auto"/>
        <w:bottom w:val="none" w:sz="0" w:space="0" w:color="auto"/>
        <w:right w:val="none" w:sz="0" w:space="0" w:color="auto"/>
      </w:divBdr>
      <w:divsChild>
        <w:div w:id="326446555">
          <w:marLeft w:val="878"/>
          <w:marRight w:val="0"/>
          <w:marTop w:val="86"/>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0376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2399">
      <w:bodyDiv w:val="1"/>
      <w:marLeft w:val="0"/>
      <w:marRight w:val="0"/>
      <w:marTop w:val="0"/>
      <w:marBottom w:val="0"/>
      <w:divBdr>
        <w:top w:val="none" w:sz="0" w:space="0" w:color="auto"/>
        <w:left w:val="none" w:sz="0" w:space="0" w:color="auto"/>
        <w:bottom w:val="none" w:sz="0" w:space="0" w:color="auto"/>
        <w:right w:val="none" w:sz="0" w:space="0" w:color="auto"/>
      </w:divBdr>
      <w:divsChild>
        <w:div w:id="350035120">
          <w:marLeft w:val="490"/>
          <w:marRight w:val="0"/>
          <w:marTop w:val="0"/>
          <w:marBottom w:val="160"/>
          <w:divBdr>
            <w:top w:val="none" w:sz="0" w:space="0" w:color="auto"/>
            <w:left w:val="none" w:sz="0" w:space="0" w:color="auto"/>
            <w:bottom w:val="none" w:sz="0" w:space="0" w:color="auto"/>
            <w:right w:val="none" w:sz="0" w:space="0" w:color="auto"/>
          </w:divBdr>
        </w:div>
        <w:div w:id="1604456940">
          <w:marLeft w:val="965"/>
          <w:marRight w:val="0"/>
          <w:marTop w:val="0"/>
          <w:marBottom w:val="160"/>
          <w:divBdr>
            <w:top w:val="none" w:sz="0" w:space="0" w:color="auto"/>
            <w:left w:val="none" w:sz="0" w:space="0" w:color="auto"/>
            <w:bottom w:val="none" w:sz="0" w:space="0" w:color="auto"/>
            <w:right w:val="none" w:sz="0" w:space="0" w:color="auto"/>
          </w:divBdr>
        </w:div>
        <w:div w:id="861044397">
          <w:marLeft w:val="965"/>
          <w:marRight w:val="0"/>
          <w:marTop w:val="0"/>
          <w:marBottom w:val="160"/>
          <w:divBdr>
            <w:top w:val="none" w:sz="0" w:space="0" w:color="auto"/>
            <w:left w:val="none" w:sz="0" w:space="0" w:color="auto"/>
            <w:bottom w:val="none" w:sz="0" w:space="0" w:color="auto"/>
            <w:right w:val="none" w:sz="0" w:space="0" w:color="auto"/>
          </w:divBdr>
        </w:div>
        <w:div w:id="508065567">
          <w:marLeft w:val="965"/>
          <w:marRight w:val="0"/>
          <w:marTop w:val="0"/>
          <w:marBottom w:val="160"/>
          <w:divBdr>
            <w:top w:val="none" w:sz="0" w:space="0" w:color="auto"/>
            <w:left w:val="none" w:sz="0" w:space="0" w:color="auto"/>
            <w:bottom w:val="none" w:sz="0" w:space="0" w:color="auto"/>
            <w:right w:val="none" w:sz="0" w:space="0" w:color="auto"/>
          </w:divBdr>
        </w:div>
        <w:div w:id="989408278">
          <w:marLeft w:val="490"/>
          <w:marRight w:val="0"/>
          <w:marTop w:val="0"/>
          <w:marBottom w:val="16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749449">
      <w:bodyDiv w:val="1"/>
      <w:marLeft w:val="0"/>
      <w:marRight w:val="0"/>
      <w:marTop w:val="0"/>
      <w:marBottom w:val="0"/>
      <w:divBdr>
        <w:top w:val="none" w:sz="0" w:space="0" w:color="auto"/>
        <w:left w:val="none" w:sz="0" w:space="0" w:color="auto"/>
        <w:bottom w:val="none" w:sz="0" w:space="0" w:color="auto"/>
        <w:right w:val="none" w:sz="0" w:space="0" w:color="auto"/>
      </w:divBdr>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25" ma:contentTypeDescription="Create a new document." ma:contentTypeScope="" ma:versionID="657e1a24185a8cad9590e92b94017c3d">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1dc3298a18e8a29cea7428989bd0bfa3"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5AIRPNAIUNRU-1379959237-89</_dlc_DocId>
    <_dlc_DocIdUrl xmlns="71c5aaf6-e6ce-465b-b873-5148d2a4c105">
      <Url>https://nokia.sharepoint.com/sites/c5g/projects/phydesign/_layouts/15/DocIdRedir.aspx?ID=5AIRPNAIUNRU-1379959237-89</Url>
      <Description>5AIRPNAIUNRU-1379959237-89</Description>
    </_dlc_DocIdUrl>
    <HideFromDelve xmlns="71c5aaf6-e6ce-465b-b873-5148d2a4c105">false</HideFromDelve>
    <SharedWithUsers xmlns="3b34c8f0-1ef5-4d1e-bb66-517ce7fe7356">
      <UserInfo>
        <DisplayName>Cudak, Mark (Nokia - US/Naperville)</DisplayName>
        <AccountId>830</AccountId>
        <AccountType/>
      </UserInfo>
      <UserInfo>
        <DisplayName>Hulkkonen, Jari (Nokia - FI/Oulu)</DisplayName>
        <AccountId>553</AccountId>
        <AccountType/>
      </UserInfo>
      <UserInfo>
        <DisplayName>Tervo, Oskari (Nokia - FI/Oulu)</DisplayName>
        <AccountId>13738</AccountId>
        <AccountType/>
      </UserInfo>
      <UserInfo>
        <DisplayName>Hooli, Kari (Nokia - FI/Oulu)</DisplayName>
        <AccountId>780</AccountId>
        <AccountType/>
      </UserInfo>
      <UserInfo>
        <DisplayName>Kinnunen, Pasi Et. (Nokia - FI/Oulu)</DisplayName>
        <AccountId>862</AccountId>
        <AccountType/>
      </UserInfo>
      <UserInfo>
        <DisplayName>Tiirola, Esa (Nokia - FI/Oulu)</DisplayName>
        <AccountId>148</AccountId>
        <AccountType/>
      </UserInfo>
      <UserInfo>
        <DisplayName>Levanen, Toni A. (EXT - FI/Oulu)</DisplayName>
        <AccountId>812</AccountId>
        <AccountType/>
      </UserInfo>
      <UserInfo>
        <DisplayName>Talukdar, Anup (Nokia - US/Naperville)</DisplayName>
        <AccountId>845</AccountId>
        <AccountType/>
      </UserInfo>
      <UserInfo>
        <DisplayName>Ratasuk, Rapeepat (Nokia - US/Naperville)</DisplayName>
        <AccountId>318</AccountId>
        <AccountType/>
      </UserInfo>
      <UserInfo>
        <DisplayName>Vejlgaard, Benny (Nokia - DK/Aalborg)</DisplayName>
        <AccountId>15394</AccountId>
        <AccountType/>
      </UserInfo>
      <UserInfo>
        <DisplayName>Harrebek, Johannes (Nokia - DK/Aalborg)</DisplayName>
        <AccountId>17372</AccountId>
        <AccountType/>
      </UserInfo>
      <UserInfo>
        <DisplayName>Vook, Fred (Nokia - US/Naperville)</DisplayName>
        <AccountId>853</AccountId>
        <AccountType/>
      </UserInfo>
      <UserInfo>
        <DisplayName>Yuk, Youngsoo (Nokia - KR/Seoul)</DisplayName>
        <AccountId>388</AccountId>
        <AccountType/>
      </UserInfo>
      <UserInfo>
        <DisplayName>Baker, Matthew (Nokia - GB/Cambridge)</DisplayName>
        <AccountId>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F3D97671-52D8-44EA-8FBC-61BCC999D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d499e888-b648-4639-a12e-124bf1d657b9"/>
    <ds:schemaRef ds:uri="http://schemas.microsoft.com/office/2006/documentManagement/types"/>
    <ds:schemaRef ds:uri="http://www.w3.org/XML/1998/namespace"/>
    <ds:schemaRef ds:uri="http://purl.org/dc/dcmitype/"/>
    <ds:schemaRef ds:uri="71c5aaf6-e6ce-465b-b873-5148d2a4c105"/>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purl.org/dc/terms/"/>
    <ds:schemaRef ds:uri="http://purl.org/dc/elements/1.1/"/>
  </ds:schemaRefs>
</ds:datastoreItem>
</file>

<file path=customXml/itemProps6.xml><?xml version="1.0" encoding="utf-8"?>
<ds:datastoreItem xmlns:ds="http://schemas.openxmlformats.org/officeDocument/2006/customXml" ds:itemID="{D027BE9C-EBEA-410E-8BFD-AA5FC633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Pages>
  <Words>582</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Baker, Matthew (Nokia - GB/Cambridge)</cp:lastModifiedBy>
  <cp:revision>17</cp:revision>
  <cp:lastPrinted>2016-06-20T11:35:00Z</cp:lastPrinted>
  <dcterms:created xsi:type="dcterms:W3CDTF">2019-02-12T15:26:00Z</dcterms:created>
  <dcterms:modified xsi:type="dcterms:W3CDTF">2019-03-11T18:12:00Z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2e0caa0e-70ec-48e7-8599-0ef6eac7202c</vt:lpwstr>
  </property>
  <property fmtid="{D5CDD505-2E9C-101B-9397-08002B2CF9AE}" pid="9" name="AuthorIds_UIVersion_1024">
    <vt:lpwstr>419</vt:lpwstr>
  </property>
  <property fmtid="{D5CDD505-2E9C-101B-9397-08002B2CF9AE}" pid="10" name="AuthorIds_UIVersion_6144">
    <vt:lpwstr>830</vt:lpwstr>
  </property>
  <property fmtid="{D5CDD505-2E9C-101B-9397-08002B2CF9AE}" pid="11" name="AuthorIds_UIVersion_11264">
    <vt:lpwstr>830</vt:lpwstr>
  </property>
</Properties>
</file>