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A8C" w:rsidRPr="00A079D3" w:rsidRDefault="00666A8C" w:rsidP="00666A8C">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#82</w:t>
      </w:r>
      <w:r w:rsidRPr="00A079D3">
        <w:rPr>
          <w:rFonts w:cs="Arial"/>
          <w:b/>
          <w:sz w:val="28"/>
          <w:szCs w:val="28"/>
        </w:rPr>
        <w:tab/>
      </w:r>
      <w:r w:rsidRPr="00A079D3">
        <w:rPr>
          <w:rFonts w:cs="Arial"/>
          <w:b/>
          <w:sz w:val="28"/>
          <w:szCs w:val="28"/>
        </w:rPr>
        <w:tab/>
      </w:r>
      <w:r w:rsidRPr="00A079D3">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eastAsia="MS Mincho" w:cs="Arial" w:hint="eastAsia"/>
          <w:b/>
          <w:sz w:val="28"/>
          <w:szCs w:val="28"/>
        </w:rPr>
        <w:tab/>
      </w:r>
      <w:r>
        <w:rPr>
          <w:rFonts w:eastAsia="MS Mincho" w:cs="Arial" w:hint="eastAsia"/>
          <w:b/>
          <w:sz w:val="28"/>
          <w:szCs w:val="28"/>
        </w:rPr>
        <w:tab/>
      </w:r>
      <w:r w:rsidRPr="00A079D3">
        <w:rPr>
          <w:rFonts w:cs="Arial"/>
          <w:b/>
          <w:sz w:val="28"/>
          <w:szCs w:val="28"/>
        </w:rPr>
        <w:t>RP-1</w:t>
      </w:r>
      <w:r>
        <w:rPr>
          <w:rFonts w:cs="Arial"/>
          <w:b/>
          <w:sz w:val="28"/>
          <w:szCs w:val="28"/>
        </w:rPr>
        <w:t>82</w:t>
      </w:r>
      <w:r w:rsidR="00C02D1A">
        <w:rPr>
          <w:rFonts w:cs="Arial"/>
          <w:b/>
          <w:sz w:val="28"/>
          <w:szCs w:val="28"/>
        </w:rPr>
        <w:t>7</w:t>
      </w:r>
      <w:r w:rsidR="00454627">
        <w:rPr>
          <w:rFonts w:cs="Arial"/>
          <w:b/>
          <w:sz w:val="28"/>
          <w:szCs w:val="28"/>
        </w:rPr>
        <w:t>47</w:t>
      </w:r>
    </w:p>
    <w:p w:rsidR="00666A8C" w:rsidRPr="00A079D3" w:rsidRDefault="00666A8C" w:rsidP="00666A8C">
      <w:pPr>
        <w:keepLines/>
        <w:tabs>
          <w:tab w:val="left" w:pos="567"/>
        </w:tabs>
        <w:rPr>
          <w:rFonts w:cs="Arial"/>
          <w:b/>
          <w:sz w:val="28"/>
          <w:szCs w:val="28"/>
        </w:rPr>
      </w:pPr>
      <w:r>
        <w:rPr>
          <w:rFonts w:cs="Arial"/>
          <w:b/>
          <w:sz w:val="28"/>
          <w:szCs w:val="28"/>
        </w:rPr>
        <w:t>Sorrento, Italy, December</w:t>
      </w:r>
      <w:r w:rsidRPr="00A079D3">
        <w:rPr>
          <w:rFonts w:cs="Arial"/>
          <w:b/>
          <w:sz w:val="28"/>
          <w:szCs w:val="28"/>
        </w:rPr>
        <w:t xml:space="preserve"> </w:t>
      </w:r>
      <w:r>
        <w:rPr>
          <w:rFonts w:cs="Arial"/>
          <w:b/>
          <w:sz w:val="28"/>
          <w:szCs w:val="28"/>
        </w:rPr>
        <w:t>10-13,</w:t>
      </w:r>
      <w:r w:rsidRPr="00A079D3">
        <w:rPr>
          <w:rFonts w:cs="Arial"/>
          <w:b/>
          <w:sz w:val="28"/>
          <w:szCs w:val="28"/>
        </w:rPr>
        <w:t xml:space="preserve"> 201</w:t>
      </w:r>
      <w:r>
        <w:rPr>
          <w:rFonts w:cs="Arial"/>
          <w:b/>
          <w:sz w:val="28"/>
          <w:szCs w:val="28"/>
        </w:rPr>
        <w:t>8</w:t>
      </w:r>
    </w:p>
    <w:p w:rsidR="00512838" w:rsidRPr="005D2C51" w:rsidRDefault="00512838" w:rsidP="0060603E">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666A8C">
        <w:rPr>
          <w:b/>
          <w:sz w:val="24"/>
          <w:szCs w:val="24"/>
        </w:rPr>
        <w:t>9.</w:t>
      </w:r>
      <w:r w:rsidR="00454627">
        <w:rPr>
          <w:b/>
          <w:sz w:val="24"/>
          <w:szCs w:val="24"/>
        </w:rPr>
        <w:t>1.2</w:t>
      </w:r>
      <w:bookmarkStart w:id="1" w:name="_GoBack"/>
      <w:bookmarkEnd w:id="1"/>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C724F1" w:rsidRDefault="0060603E" w:rsidP="00326FF6">
      <w:pPr>
        <w:ind w:left="1800" w:hanging="1800"/>
        <w:rPr>
          <w:b/>
          <w:sz w:val="24"/>
          <w:szCs w:val="24"/>
        </w:rPr>
      </w:pPr>
      <w:r w:rsidRPr="00212204">
        <w:rPr>
          <w:b/>
          <w:sz w:val="24"/>
          <w:szCs w:val="24"/>
        </w:rPr>
        <w:t>Title:</w:t>
      </w:r>
      <w:r w:rsidR="002D479B" w:rsidRPr="00212204">
        <w:rPr>
          <w:sz w:val="24"/>
          <w:szCs w:val="24"/>
        </w:rPr>
        <w:tab/>
      </w:r>
      <w:r w:rsidR="00666A8C" w:rsidRPr="00666A8C">
        <w:rPr>
          <w:b/>
          <w:sz w:val="24"/>
          <w:szCs w:val="24"/>
        </w:rPr>
        <w:t>Motivation for Key Features of IAB WID</w:t>
      </w:r>
    </w:p>
    <w:p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F35704" w:rsidRPr="00E43560" w:rsidRDefault="002714F1" w:rsidP="00F35704">
      <w:pPr>
        <w:rPr>
          <w:rFonts w:asciiTheme="minorHAnsi" w:eastAsia="SimSun" w:hAnsiTheme="minorHAnsi"/>
          <w:sz w:val="22"/>
          <w:lang w:val="en-GB"/>
        </w:rPr>
      </w:pPr>
      <w:r>
        <w:rPr>
          <w:rFonts w:asciiTheme="minorHAnsi" w:eastAsia="SimSun" w:hAnsiTheme="minorHAnsi"/>
          <w:sz w:val="22"/>
          <w:lang w:val="en-GB"/>
        </w:rPr>
        <w:t>T</w:t>
      </w:r>
      <w:r w:rsidR="00C724F1" w:rsidRPr="00E43560">
        <w:rPr>
          <w:rFonts w:asciiTheme="minorHAnsi" w:eastAsia="SimSun" w:hAnsiTheme="minorHAnsi"/>
          <w:sz w:val="22"/>
          <w:lang w:val="en-GB"/>
        </w:rPr>
        <w:t xml:space="preserve">he Study Item on Integrated Access and Backhaul for NR [1], </w:t>
      </w:r>
      <w:r>
        <w:rPr>
          <w:rFonts w:asciiTheme="minorHAnsi" w:eastAsia="SimSun" w:hAnsiTheme="minorHAnsi"/>
          <w:sz w:val="22"/>
          <w:lang w:val="en-GB"/>
        </w:rPr>
        <w:t xml:space="preserve">has been completed and </w:t>
      </w:r>
      <w:r w:rsidR="00C724F1" w:rsidRPr="00E43560">
        <w:rPr>
          <w:rFonts w:asciiTheme="minorHAnsi" w:eastAsia="SimSun" w:hAnsiTheme="minorHAnsi"/>
          <w:sz w:val="22"/>
          <w:lang w:val="en-GB"/>
        </w:rPr>
        <w:t>identif</w:t>
      </w:r>
      <w:r>
        <w:rPr>
          <w:rFonts w:asciiTheme="minorHAnsi" w:eastAsia="SimSun" w:hAnsiTheme="minorHAnsi"/>
          <w:sz w:val="22"/>
          <w:lang w:val="en-GB"/>
        </w:rPr>
        <w:t>ied</w:t>
      </w:r>
      <w:r w:rsidR="00C724F1" w:rsidRPr="00E43560">
        <w:rPr>
          <w:rFonts w:asciiTheme="minorHAnsi" w:eastAsia="SimSun" w:hAnsiTheme="minorHAnsi"/>
          <w:sz w:val="22"/>
          <w:lang w:val="en-GB"/>
        </w:rPr>
        <w:t xml:space="preserve"> and evaluate</w:t>
      </w:r>
      <w:r>
        <w:rPr>
          <w:rFonts w:asciiTheme="minorHAnsi" w:eastAsia="SimSun" w:hAnsiTheme="minorHAnsi"/>
          <w:sz w:val="22"/>
          <w:lang w:val="en-GB"/>
        </w:rPr>
        <w:t>d</w:t>
      </w:r>
      <w:r w:rsidR="00C724F1" w:rsidRPr="00E43560">
        <w:rPr>
          <w:rFonts w:asciiTheme="minorHAnsi" w:eastAsia="SimSun" w:hAnsiTheme="minorHAnsi"/>
          <w:sz w:val="22"/>
          <w:lang w:val="en-GB"/>
        </w:rPr>
        <w:t xml:space="preserve"> potential solutions for efficient operation of integrated access and wireless backhaul for NR</w:t>
      </w:r>
      <w:r w:rsidR="00F35704" w:rsidRPr="00E43560">
        <w:rPr>
          <w:rFonts w:asciiTheme="minorHAnsi" w:eastAsia="SimSun" w:hAnsiTheme="minorHAnsi"/>
          <w:sz w:val="22"/>
          <w:lang w:val="en-GB"/>
        </w:rPr>
        <w:t xml:space="preserve">. </w:t>
      </w:r>
    </w:p>
    <w:p w:rsidR="00E43560" w:rsidRPr="00AD273C" w:rsidRDefault="00E43560" w:rsidP="00E43560">
      <w:pPr>
        <w:pStyle w:val="BodyText"/>
        <w:rPr>
          <w:rFonts w:asciiTheme="minorHAnsi" w:eastAsia="SimSun" w:hAnsiTheme="minorHAnsi"/>
          <w:sz w:val="22"/>
          <w:lang w:val="en-GB"/>
        </w:rPr>
      </w:pPr>
      <w:r w:rsidRPr="00AD273C">
        <w:rPr>
          <w:rFonts w:asciiTheme="minorHAnsi" w:eastAsia="SimSun" w:hAnsiTheme="minorHAnsi"/>
          <w:sz w:val="22"/>
          <w:lang w:val="en-GB"/>
        </w:rPr>
        <w:t xml:space="preserve">An example of a network with integrated access and backhaul links is shown in Figure 1 below. </w:t>
      </w:r>
    </w:p>
    <w:p w:rsidR="00E43560" w:rsidRDefault="00E43560" w:rsidP="00E43560">
      <w:pPr>
        <w:pStyle w:val="maintext"/>
        <w:ind w:firstLine="400"/>
        <w:rPr>
          <w:rFonts w:ascii="Calibri" w:hAnsi="Calibri"/>
        </w:rPr>
      </w:pPr>
    </w:p>
    <w:p w:rsidR="00E43560" w:rsidRPr="00EC51BC" w:rsidRDefault="00E43560" w:rsidP="00E43560">
      <w:pPr>
        <w:spacing w:after="60" w:line="288" w:lineRule="auto"/>
        <w:jc w:val="center"/>
        <w:rPr>
          <w:rFonts w:eastAsia="Malgun Gothic" w:cs="Batang"/>
          <w:b/>
          <w:lang w:val="en-GB" w:eastAsia="ko-KR"/>
        </w:rPr>
      </w:pPr>
      <w:r>
        <w:rPr>
          <w:rFonts w:eastAsia="Malgun Gothic" w:cs="Batang"/>
          <w:b/>
          <w:noProof/>
        </w:rPr>
        <w:drawing>
          <wp:inline distT="0" distB="0" distL="0" distR="0" wp14:anchorId="6F7DC094" wp14:editId="4651F04A">
            <wp:extent cx="5562144" cy="2060812"/>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8611" cy="2070618"/>
                    </a:xfrm>
                    <a:prstGeom prst="rect">
                      <a:avLst/>
                    </a:prstGeom>
                    <a:noFill/>
                  </pic:spPr>
                </pic:pic>
              </a:graphicData>
            </a:graphic>
          </wp:inline>
        </w:drawing>
      </w:r>
    </w:p>
    <w:p w:rsidR="00E43560" w:rsidRDefault="00E43560" w:rsidP="00E43560">
      <w:pPr>
        <w:spacing w:after="240" w:line="360" w:lineRule="auto"/>
        <w:ind w:left="720"/>
        <w:jc w:val="center"/>
        <w:rPr>
          <w:rFonts w:ascii="Calibri" w:hAnsi="Calibri"/>
          <w:b/>
          <w:bCs/>
          <w:sz w:val="24"/>
          <w:lang w:val="en-GB" w:eastAsia="zh-CN"/>
        </w:rPr>
      </w:pPr>
      <w:r>
        <w:rPr>
          <w:rFonts w:ascii="Calibri" w:hAnsi="Calibri"/>
          <w:b/>
          <w:bCs/>
          <w:sz w:val="24"/>
          <w:lang w:val="en-GB" w:eastAsia="zh-CN"/>
        </w:rPr>
        <w:t>Figure 1: Integrated access and backhaul</w:t>
      </w:r>
      <w:r w:rsidRPr="00EC51BC">
        <w:rPr>
          <w:rFonts w:ascii="Calibri" w:hAnsi="Calibri"/>
          <w:b/>
          <w:bCs/>
          <w:sz w:val="24"/>
          <w:lang w:val="en-GB" w:eastAsia="zh-CN"/>
        </w:rPr>
        <w:t xml:space="preserve"> links</w:t>
      </w:r>
    </w:p>
    <w:p w:rsidR="00E43560" w:rsidRDefault="00E43560" w:rsidP="00E43560">
      <w:pPr>
        <w:pStyle w:val="BodyText"/>
        <w:rPr>
          <w:rFonts w:asciiTheme="minorHAnsi" w:eastAsia="SimSun" w:hAnsiTheme="minorHAnsi"/>
          <w:sz w:val="22"/>
          <w:lang w:val="en-GB"/>
        </w:rPr>
      </w:pPr>
      <w:r>
        <w:rPr>
          <w:rFonts w:asciiTheme="minorHAnsi" w:eastAsia="SimSun" w:hAnsiTheme="minorHAnsi"/>
          <w:sz w:val="22"/>
          <w:lang w:val="en-GB"/>
        </w:rPr>
        <w:t xml:space="preserve">Three key components of the IAB </w:t>
      </w:r>
      <w:r w:rsidR="00432E17">
        <w:rPr>
          <w:rFonts w:asciiTheme="minorHAnsi" w:eastAsia="SimSun" w:hAnsiTheme="minorHAnsi"/>
          <w:sz w:val="22"/>
          <w:lang w:val="en-GB"/>
        </w:rPr>
        <w:t xml:space="preserve">design </w:t>
      </w:r>
      <w:r>
        <w:rPr>
          <w:rFonts w:asciiTheme="minorHAnsi" w:eastAsia="SimSun" w:hAnsiTheme="minorHAnsi"/>
          <w:sz w:val="22"/>
          <w:lang w:val="en-GB"/>
        </w:rPr>
        <w:t xml:space="preserve">are </w:t>
      </w:r>
      <w:r w:rsidR="00432E17">
        <w:rPr>
          <w:rFonts w:asciiTheme="minorHAnsi" w:eastAsia="SimSun" w:hAnsiTheme="minorHAnsi"/>
          <w:sz w:val="22"/>
          <w:lang w:val="en-GB"/>
        </w:rPr>
        <w:t xml:space="preserve">support for </w:t>
      </w:r>
      <w:r>
        <w:rPr>
          <w:rFonts w:asciiTheme="minorHAnsi" w:eastAsia="SimSun" w:hAnsiTheme="minorHAnsi"/>
          <w:sz w:val="22"/>
          <w:lang w:val="en-GB"/>
        </w:rPr>
        <w:t>topology management, route mana</w:t>
      </w:r>
      <w:r w:rsidR="00432E17">
        <w:rPr>
          <w:rFonts w:asciiTheme="minorHAnsi" w:eastAsia="SimSun" w:hAnsiTheme="minorHAnsi"/>
          <w:sz w:val="22"/>
          <w:lang w:val="en-GB"/>
        </w:rPr>
        <w:t xml:space="preserve">gement, and frame structure optimization and backhaul link </w:t>
      </w:r>
      <w:r>
        <w:rPr>
          <w:rFonts w:asciiTheme="minorHAnsi" w:eastAsia="SimSun" w:hAnsiTheme="minorHAnsi"/>
          <w:sz w:val="22"/>
          <w:lang w:val="en-GB"/>
        </w:rPr>
        <w:t>scheduling</w:t>
      </w:r>
      <w:r w:rsidR="00432E17">
        <w:rPr>
          <w:rFonts w:asciiTheme="minorHAnsi" w:eastAsia="SimSun" w:hAnsiTheme="minorHAnsi"/>
          <w:sz w:val="22"/>
          <w:lang w:val="en-GB"/>
        </w:rPr>
        <w:t xml:space="preserve"> </w:t>
      </w:r>
      <w:r>
        <w:rPr>
          <w:rFonts w:asciiTheme="minorHAnsi" w:eastAsia="SimSun" w:hAnsiTheme="minorHAnsi"/>
          <w:sz w:val="22"/>
          <w:lang w:val="en-GB"/>
        </w:rPr>
        <w:t xml:space="preserve">as shown in Figure 2. </w:t>
      </w:r>
    </w:p>
    <w:p w:rsidR="00E43560" w:rsidRDefault="00E43560" w:rsidP="00E43560">
      <w:pPr>
        <w:pStyle w:val="BodyText"/>
        <w:rPr>
          <w:rFonts w:asciiTheme="minorHAnsi" w:eastAsia="SimSun" w:hAnsiTheme="minorHAnsi"/>
          <w:sz w:val="22"/>
          <w:lang w:val="en-GB"/>
        </w:rPr>
      </w:pPr>
    </w:p>
    <w:p w:rsidR="00E43560" w:rsidRDefault="00E43560" w:rsidP="00E43560">
      <w:pPr>
        <w:pStyle w:val="BodyText"/>
        <w:rPr>
          <w:rFonts w:asciiTheme="minorHAnsi" w:eastAsia="SimSun" w:hAnsiTheme="minorHAnsi"/>
          <w:sz w:val="22"/>
          <w:lang w:val="en-GB"/>
        </w:rPr>
      </w:pPr>
      <w:r>
        <w:rPr>
          <w:rFonts w:asciiTheme="minorHAnsi" w:eastAsia="SimSun" w:hAnsiTheme="minorHAnsi"/>
          <w:noProof/>
          <w:sz w:val="22"/>
        </w:rPr>
        <w:drawing>
          <wp:inline distT="0" distB="0" distL="0" distR="0" wp14:anchorId="507C30E8" wp14:editId="476D0EF2">
            <wp:extent cx="6431441" cy="1341319"/>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59905" cy="1368111"/>
                    </a:xfrm>
                    <a:prstGeom prst="rect">
                      <a:avLst/>
                    </a:prstGeom>
                    <a:noFill/>
                  </pic:spPr>
                </pic:pic>
              </a:graphicData>
            </a:graphic>
          </wp:inline>
        </w:drawing>
      </w:r>
    </w:p>
    <w:p w:rsidR="00E43560" w:rsidRDefault="00E43560" w:rsidP="00E43560">
      <w:pPr>
        <w:spacing w:after="240" w:line="360" w:lineRule="auto"/>
        <w:ind w:left="720"/>
        <w:jc w:val="center"/>
        <w:rPr>
          <w:rFonts w:ascii="Calibri" w:hAnsi="Calibri"/>
          <w:b/>
          <w:bCs/>
          <w:sz w:val="24"/>
          <w:lang w:val="en-GB" w:eastAsia="zh-CN"/>
        </w:rPr>
      </w:pPr>
      <w:r>
        <w:rPr>
          <w:rFonts w:ascii="Calibri" w:hAnsi="Calibri"/>
          <w:b/>
          <w:bCs/>
          <w:sz w:val="24"/>
          <w:lang w:val="en-GB" w:eastAsia="zh-CN"/>
        </w:rPr>
        <w:t>Figure 2: Key components of IAB design</w:t>
      </w:r>
    </w:p>
    <w:p w:rsidR="00E43560" w:rsidRDefault="00E43560" w:rsidP="00E43560">
      <w:pPr>
        <w:pStyle w:val="BodyText"/>
        <w:rPr>
          <w:rFonts w:asciiTheme="minorHAnsi" w:eastAsia="SimSun" w:hAnsiTheme="minorHAnsi"/>
          <w:sz w:val="22"/>
          <w:lang w:val="en-GB"/>
        </w:rPr>
      </w:pPr>
      <w:r w:rsidRPr="008226E4">
        <w:rPr>
          <w:rFonts w:asciiTheme="minorHAnsi" w:eastAsia="SimSun" w:hAnsiTheme="minorHAnsi"/>
          <w:sz w:val="22"/>
          <w:lang w:val="en-GB"/>
        </w:rPr>
        <w:t xml:space="preserve">Topology management includes the following characteristics: 1) happens on long time scales, 2) manages static hop order, 3) handles initial access of relay nodes, and 4) changes every time a node is added or removed. On the </w:t>
      </w:r>
      <w:r w:rsidRPr="008226E4">
        <w:rPr>
          <w:rFonts w:asciiTheme="minorHAnsi" w:eastAsia="SimSun" w:hAnsiTheme="minorHAnsi"/>
          <w:sz w:val="22"/>
          <w:lang w:val="en-GB"/>
        </w:rPr>
        <w:lastRenderedPageBreak/>
        <w:t xml:space="preserve">other </w:t>
      </w:r>
      <w:proofErr w:type="gramStart"/>
      <w:r w:rsidRPr="008226E4">
        <w:rPr>
          <w:rFonts w:asciiTheme="minorHAnsi" w:eastAsia="SimSun" w:hAnsiTheme="minorHAnsi"/>
          <w:sz w:val="22"/>
          <w:lang w:val="en-GB"/>
        </w:rPr>
        <w:t>hand</w:t>
      </w:r>
      <w:proofErr w:type="gramEnd"/>
      <w:r w:rsidRPr="008226E4">
        <w:rPr>
          <w:rFonts w:asciiTheme="minorHAnsi" w:eastAsia="SimSun" w:hAnsiTheme="minorHAnsi"/>
          <w:sz w:val="22"/>
          <w:lang w:val="en-GB"/>
        </w:rPr>
        <w:t xml:space="preserve"> route management happens at a much faster time scale (e.g. happens over 10s or 100s of </w:t>
      </w:r>
      <w:proofErr w:type="spellStart"/>
      <w:r w:rsidRPr="008226E4">
        <w:rPr>
          <w:rFonts w:asciiTheme="minorHAnsi" w:eastAsia="SimSun" w:hAnsiTheme="minorHAnsi"/>
          <w:sz w:val="22"/>
          <w:lang w:val="en-GB"/>
        </w:rPr>
        <w:t>ms</w:t>
      </w:r>
      <w:proofErr w:type="spellEnd"/>
      <w:r w:rsidRPr="008226E4">
        <w:rPr>
          <w:rFonts w:asciiTheme="minorHAnsi" w:eastAsia="SimSun" w:hAnsiTheme="minorHAnsi"/>
          <w:sz w:val="22"/>
          <w:lang w:val="en-GB"/>
        </w:rPr>
        <w:t>) and routes are updated for load variance and blocking.</w:t>
      </w:r>
      <w:r>
        <w:rPr>
          <w:rFonts w:asciiTheme="minorHAnsi" w:eastAsia="SimSun" w:hAnsiTheme="minorHAnsi"/>
          <w:sz w:val="22"/>
          <w:lang w:val="en-GB"/>
        </w:rPr>
        <w:t xml:space="preserve"> Finally, </w:t>
      </w:r>
      <w:r w:rsidRPr="008B01CA">
        <w:rPr>
          <w:rFonts w:asciiTheme="minorHAnsi" w:eastAsia="SimSun" w:hAnsiTheme="minorHAnsi"/>
          <w:sz w:val="22"/>
          <w:lang w:val="en-GB"/>
        </w:rPr>
        <w:t xml:space="preserve">the scheduling of backhaul links </w:t>
      </w:r>
      <w:r w:rsidR="00C66761">
        <w:rPr>
          <w:rFonts w:asciiTheme="minorHAnsi" w:eastAsia="SimSun" w:hAnsiTheme="minorHAnsi"/>
          <w:sz w:val="22"/>
          <w:lang w:val="en-GB"/>
        </w:rPr>
        <w:t>is</w:t>
      </w:r>
      <w:r w:rsidRPr="008B01CA">
        <w:rPr>
          <w:rFonts w:asciiTheme="minorHAnsi" w:eastAsia="SimSun" w:hAnsiTheme="minorHAnsi"/>
          <w:sz w:val="22"/>
          <w:lang w:val="en-GB"/>
        </w:rPr>
        <w:t xml:space="preserve"> performed by </w:t>
      </w:r>
      <w:r w:rsidR="00C66761">
        <w:rPr>
          <w:rFonts w:asciiTheme="minorHAnsi" w:eastAsia="SimSun" w:hAnsiTheme="minorHAnsi"/>
          <w:sz w:val="22"/>
          <w:lang w:val="en-GB"/>
        </w:rPr>
        <w:t xml:space="preserve">the parent IAB nodes or donor nodes, but also requires </w:t>
      </w:r>
      <w:r w:rsidRPr="008B01CA">
        <w:rPr>
          <w:rFonts w:asciiTheme="minorHAnsi" w:eastAsia="SimSun" w:hAnsiTheme="minorHAnsi"/>
          <w:sz w:val="22"/>
          <w:lang w:val="en-GB"/>
        </w:rPr>
        <w:t>coordination and exchange of resource allocat</w:t>
      </w:r>
      <w:r w:rsidR="00C66761">
        <w:rPr>
          <w:rFonts w:asciiTheme="minorHAnsi" w:eastAsia="SimSun" w:hAnsiTheme="minorHAnsi"/>
          <w:sz w:val="22"/>
          <w:lang w:val="en-GB"/>
        </w:rPr>
        <w:t>ion/route selection information to support different constraints (e.g. half or full duplex) and resource multiplexing options (e.g. time/frequency/space).</w:t>
      </w:r>
    </w:p>
    <w:p w:rsidR="00F959A1" w:rsidRDefault="00C66761" w:rsidP="00E43560">
      <w:pPr>
        <w:pStyle w:val="maintext"/>
        <w:ind w:firstLineChars="0" w:firstLine="0"/>
        <w:rPr>
          <w:rFonts w:asciiTheme="minorHAnsi" w:eastAsia="SimSun" w:hAnsiTheme="minorHAnsi"/>
          <w:b/>
          <w:sz w:val="22"/>
        </w:rPr>
      </w:pPr>
      <w:r>
        <w:rPr>
          <w:rFonts w:asciiTheme="minorHAnsi" w:eastAsia="SimSun" w:hAnsiTheme="minorHAnsi"/>
          <w:b/>
          <w:bCs/>
          <w:sz w:val="22"/>
        </w:rPr>
        <w:t>Observation</w:t>
      </w:r>
      <w:r w:rsidR="00E43560" w:rsidRPr="00A64511">
        <w:rPr>
          <w:rFonts w:asciiTheme="minorHAnsi" w:eastAsia="SimSun" w:hAnsiTheme="minorHAnsi"/>
          <w:b/>
          <w:sz w:val="22"/>
        </w:rPr>
        <w:t xml:space="preserve">: </w:t>
      </w:r>
      <w:r w:rsidR="00E43560">
        <w:rPr>
          <w:rFonts w:asciiTheme="minorHAnsi" w:eastAsia="SimSun" w:hAnsiTheme="minorHAnsi"/>
          <w:b/>
          <w:sz w:val="22"/>
        </w:rPr>
        <w:t>The IAB design should</w:t>
      </w:r>
      <w:r w:rsidR="00E43560" w:rsidRPr="00A64511">
        <w:rPr>
          <w:rFonts w:asciiTheme="minorHAnsi" w:eastAsia="SimSun" w:hAnsiTheme="minorHAnsi"/>
          <w:b/>
          <w:sz w:val="22"/>
        </w:rPr>
        <w:t xml:space="preserve"> </w:t>
      </w:r>
      <w:r w:rsidR="00E43560">
        <w:rPr>
          <w:rFonts w:asciiTheme="minorHAnsi" w:eastAsia="SimSun" w:hAnsiTheme="minorHAnsi"/>
          <w:b/>
          <w:sz w:val="22"/>
        </w:rPr>
        <w:t>support</w:t>
      </w:r>
      <w:r w:rsidR="00E43560" w:rsidRPr="00A64511">
        <w:rPr>
          <w:rFonts w:asciiTheme="minorHAnsi" w:eastAsia="SimSun" w:hAnsiTheme="minorHAnsi"/>
          <w:b/>
          <w:sz w:val="22"/>
        </w:rPr>
        <w:t xml:space="preserve"> l</w:t>
      </w:r>
      <w:r w:rsidR="00E43560">
        <w:rPr>
          <w:rFonts w:asciiTheme="minorHAnsi" w:eastAsia="SimSun" w:hAnsiTheme="minorHAnsi"/>
          <w:b/>
          <w:sz w:val="22"/>
        </w:rPr>
        <w:t>ong-term topology management, short-term route management, and mechanisms for optimizing resource allocation/route selection across multiple IAB nodes/backhaul hops</w:t>
      </w:r>
      <w:r>
        <w:rPr>
          <w:rFonts w:asciiTheme="minorHAnsi" w:eastAsia="SimSun" w:hAnsiTheme="minorHAnsi"/>
          <w:b/>
          <w:sz w:val="22"/>
        </w:rPr>
        <w:t>.</w:t>
      </w:r>
    </w:p>
    <w:p w:rsidR="00C66761" w:rsidRDefault="00C66761" w:rsidP="00E43560">
      <w:pPr>
        <w:pStyle w:val="maintext"/>
        <w:ind w:firstLineChars="0" w:firstLine="0"/>
        <w:rPr>
          <w:rFonts w:ascii="Calibri" w:hAnsi="Calibri"/>
        </w:rPr>
      </w:pPr>
    </w:p>
    <w:p w:rsidR="00D63D15" w:rsidRDefault="0005218F" w:rsidP="008E1CDC">
      <w:pPr>
        <w:pStyle w:val="BodyText"/>
        <w:spacing w:before="0"/>
        <w:rPr>
          <w:rFonts w:asciiTheme="minorHAnsi" w:eastAsia="SimSun" w:hAnsiTheme="minorHAnsi"/>
          <w:sz w:val="22"/>
          <w:lang w:val="en-GB"/>
        </w:rPr>
      </w:pPr>
      <w:r>
        <w:rPr>
          <w:rFonts w:asciiTheme="minorHAnsi" w:eastAsia="SimSun" w:hAnsiTheme="minorHAnsi"/>
          <w:sz w:val="22"/>
          <w:lang w:val="en-GB"/>
        </w:rPr>
        <w:t>This contribution</w:t>
      </w:r>
      <w:r w:rsidR="00D63D15">
        <w:rPr>
          <w:rFonts w:asciiTheme="minorHAnsi" w:eastAsia="SimSun" w:hAnsiTheme="minorHAnsi"/>
          <w:sz w:val="22"/>
          <w:lang w:val="en-GB"/>
        </w:rPr>
        <w:t xml:space="preserve"> discuss</w:t>
      </w:r>
      <w:r>
        <w:rPr>
          <w:rFonts w:asciiTheme="minorHAnsi" w:eastAsia="SimSun" w:hAnsiTheme="minorHAnsi"/>
          <w:sz w:val="22"/>
          <w:lang w:val="en-GB"/>
        </w:rPr>
        <w:t>es</w:t>
      </w:r>
      <w:r w:rsidR="00D63D15">
        <w:rPr>
          <w:rFonts w:asciiTheme="minorHAnsi" w:eastAsia="SimSun" w:hAnsiTheme="minorHAnsi"/>
          <w:sz w:val="22"/>
          <w:lang w:val="en-GB"/>
        </w:rPr>
        <w:t xml:space="preserve"> the following mechanisms to support those key components of the IAB design and should be included in a Rel-16 NR IAB WID</w:t>
      </w:r>
      <w:r w:rsidR="00432E17">
        <w:rPr>
          <w:rFonts w:asciiTheme="minorHAnsi" w:eastAsia="SimSun" w:hAnsiTheme="minorHAnsi"/>
          <w:sz w:val="22"/>
          <w:lang w:val="en-GB"/>
        </w:rPr>
        <w:t xml:space="preserve"> based on solutions recommended for support in the IAB SI TR [2]</w:t>
      </w:r>
      <w:r w:rsidR="00D63D15">
        <w:rPr>
          <w:rFonts w:asciiTheme="minorHAnsi" w:eastAsia="SimSun" w:hAnsiTheme="minorHAnsi"/>
          <w:sz w:val="22"/>
          <w:lang w:val="en-GB"/>
        </w:rPr>
        <w:t>:</w:t>
      </w:r>
    </w:p>
    <w:p w:rsidR="008E1CDC" w:rsidRDefault="00D63D15" w:rsidP="00D63D15">
      <w:pPr>
        <w:pStyle w:val="BodyText"/>
        <w:numPr>
          <w:ilvl w:val="0"/>
          <w:numId w:val="22"/>
        </w:numPr>
        <w:spacing w:before="0"/>
        <w:rPr>
          <w:rFonts w:asciiTheme="minorHAnsi" w:eastAsia="SimSun" w:hAnsiTheme="minorHAnsi"/>
          <w:sz w:val="22"/>
          <w:lang w:val="en-GB"/>
        </w:rPr>
      </w:pPr>
      <w:r>
        <w:rPr>
          <w:rFonts w:asciiTheme="minorHAnsi" w:eastAsia="SimSun" w:hAnsiTheme="minorHAnsi"/>
          <w:sz w:val="22"/>
          <w:lang w:val="en-GB"/>
        </w:rPr>
        <w:t>NSA Support for IAB Topology Formation and Management</w:t>
      </w:r>
    </w:p>
    <w:p w:rsidR="00D63D15" w:rsidRDefault="00D63D15" w:rsidP="00D63D15">
      <w:pPr>
        <w:pStyle w:val="BodyText"/>
        <w:numPr>
          <w:ilvl w:val="0"/>
          <w:numId w:val="22"/>
        </w:numPr>
        <w:spacing w:before="0"/>
        <w:rPr>
          <w:rFonts w:asciiTheme="minorHAnsi" w:eastAsia="SimSun" w:hAnsiTheme="minorHAnsi"/>
          <w:sz w:val="22"/>
          <w:lang w:val="en-GB"/>
        </w:rPr>
      </w:pPr>
      <w:r>
        <w:rPr>
          <w:rFonts w:asciiTheme="minorHAnsi" w:eastAsia="SimSun" w:hAnsiTheme="minorHAnsi"/>
          <w:sz w:val="22"/>
          <w:lang w:val="en-GB"/>
        </w:rPr>
        <w:t>Multi-Connectivity to support fast route selection</w:t>
      </w:r>
    </w:p>
    <w:p w:rsidR="00D63D15" w:rsidRPr="008E1CDC" w:rsidRDefault="00D63D15" w:rsidP="00D63D15">
      <w:pPr>
        <w:pStyle w:val="BodyText"/>
        <w:numPr>
          <w:ilvl w:val="0"/>
          <w:numId w:val="22"/>
        </w:numPr>
        <w:spacing w:before="0"/>
        <w:rPr>
          <w:rFonts w:asciiTheme="minorHAnsi" w:eastAsia="SimSun" w:hAnsiTheme="minorHAnsi"/>
          <w:sz w:val="22"/>
          <w:lang w:val="en-GB"/>
        </w:rPr>
      </w:pPr>
      <w:r>
        <w:rPr>
          <w:rFonts w:asciiTheme="minorHAnsi" w:eastAsia="SimSun" w:hAnsiTheme="minorHAnsi"/>
          <w:sz w:val="22"/>
          <w:lang w:val="en-GB"/>
        </w:rPr>
        <w:t>Resource allocation to support TDM/FDM/SDM of access and backhaul links</w:t>
      </w:r>
    </w:p>
    <w:p w:rsidR="00175301" w:rsidRDefault="00175301" w:rsidP="00FB2665">
      <w:pPr>
        <w:pStyle w:val="maintext"/>
        <w:ind w:firstLineChars="0" w:firstLine="0"/>
      </w:pPr>
    </w:p>
    <w:p w:rsidR="00666A8C" w:rsidRDefault="00D63D15" w:rsidP="00432E17">
      <w:pPr>
        <w:pStyle w:val="Heading1"/>
      </w:pPr>
      <w:r>
        <w:t xml:space="preserve">NSA support for IAB </w:t>
      </w:r>
      <w:r w:rsidR="00F101B8">
        <w:t>Topology</w:t>
      </w:r>
      <w:r>
        <w:t xml:space="preserve"> Formation and Management</w:t>
      </w:r>
    </w:p>
    <w:p w:rsidR="0005218F" w:rsidRDefault="00666A8C" w:rsidP="00666A8C">
      <w:pPr>
        <w:spacing w:after="0"/>
        <w:rPr>
          <w:rFonts w:asciiTheme="minorHAnsi" w:eastAsia="SimSun" w:hAnsiTheme="minorHAnsi"/>
          <w:sz w:val="22"/>
          <w:lang w:val="en-GB"/>
        </w:rPr>
      </w:pPr>
      <w:r w:rsidRPr="00D63D15">
        <w:rPr>
          <w:rFonts w:asciiTheme="minorHAnsi" w:eastAsia="SimSun" w:hAnsiTheme="minorHAnsi"/>
          <w:sz w:val="22"/>
          <w:lang w:val="en-GB"/>
        </w:rPr>
        <w:t xml:space="preserve">Initial </w:t>
      </w:r>
      <w:r w:rsidR="0005218F">
        <w:rPr>
          <w:rFonts w:asciiTheme="minorHAnsi" w:eastAsia="SimSun" w:hAnsiTheme="minorHAnsi"/>
          <w:sz w:val="22"/>
          <w:lang w:val="en-GB"/>
        </w:rPr>
        <w:t>NR network deployments based on</w:t>
      </w:r>
      <w:r w:rsidRPr="00D63D15">
        <w:rPr>
          <w:rFonts w:asciiTheme="minorHAnsi" w:eastAsia="SimSun" w:hAnsiTheme="minorHAnsi"/>
          <w:sz w:val="22"/>
          <w:lang w:val="en-GB"/>
        </w:rPr>
        <w:t xml:space="preserve"> Release 15 3GPP specifications </w:t>
      </w:r>
      <w:r w:rsidR="0005218F">
        <w:rPr>
          <w:rFonts w:asciiTheme="minorHAnsi" w:eastAsia="SimSun" w:hAnsiTheme="minorHAnsi"/>
          <w:sz w:val="22"/>
          <w:lang w:val="en-GB"/>
        </w:rPr>
        <w:t>may be</w:t>
      </w:r>
      <w:r w:rsidRPr="00D63D15">
        <w:rPr>
          <w:rFonts w:asciiTheme="minorHAnsi" w:eastAsia="SimSun" w:hAnsiTheme="minorHAnsi"/>
          <w:sz w:val="22"/>
          <w:lang w:val="en-GB"/>
        </w:rPr>
        <w:t xml:space="preserve"> based on </w:t>
      </w:r>
      <w:r w:rsidR="00576764">
        <w:rPr>
          <w:rFonts w:asciiTheme="minorHAnsi" w:eastAsia="SimSun" w:hAnsiTheme="minorHAnsi"/>
          <w:sz w:val="22"/>
          <w:lang w:val="en-GB"/>
        </w:rPr>
        <w:t xml:space="preserve">the </w:t>
      </w:r>
      <w:r w:rsidRPr="00D63D15">
        <w:rPr>
          <w:rFonts w:asciiTheme="minorHAnsi" w:eastAsia="SimSun" w:hAnsiTheme="minorHAnsi"/>
          <w:sz w:val="22"/>
          <w:lang w:val="en-GB"/>
        </w:rPr>
        <w:t xml:space="preserve">non-standalone (NSA) scenario (Option 3x), using existing EPC deployments for the core network. Additionally, some other NR network deployments may be based on </w:t>
      </w:r>
      <w:r w:rsidR="00576764">
        <w:rPr>
          <w:rFonts w:asciiTheme="minorHAnsi" w:eastAsia="SimSun" w:hAnsiTheme="minorHAnsi"/>
          <w:sz w:val="22"/>
          <w:lang w:val="en-GB"/>
        </w:rPr>
        <w:t xml:space="preserve">the </w:t>
      </w:r>
      <w:r w:rsidRPr="00D63D15">
        <w:rPr>
          <w:rFonts w:asciiTheme="minorHAnsi" w:eastAsia="SimSun" w:hAnsiTheme="minorHAnsi"/>
          <w:sz w:val="22"/>
          <w:lang w:val="en-GB"/>
        </w:rPr>
        <w:t xml:space="preserve">standalone (SA) scenario (Option 2). Furthermore, some networks deployed in Option 3x scenario using EPC could migrate to Option 7x or 4 using NGC. </w:t>
      </w:r>
    </w:p>
    <w:p w:rsidR="0005218F" w:rsidRDefault="0005218F" w:rsidP="0005218F">
      <w:pPr>
        <w:spacing w:after="0"/>
        <w:rPr>
          <w:rFonts w:asciiTheme="minorHAnsi" w:eastAsia="SimSun" w:hAnsiTheme="minorHAnsi"/>
          <w:sz w:val="22"/>
          <w:lang w:val="en-GB"/>
        </w:rPr>
      </w:pPr>
    </w:p>
    <w:p w:rsidR="001C7725" w:rsidRDefault="00666A8C" w:rsidP="0005218F">
      <w:pPr>
        <w:spacing w:after="0"/>
        <w:rPr>
          <w:rFonts w:asciiTheme="minorHAnsi" w:eastAsia="SimSun" w:hAnsiTheme="minorHAnsi"/>
          <w:sz w:val="22"/>
          <w:lang w:val="en-GB"/>
        </w:rPr>
      </w:pPr>
      <w:r w:rsidRPr="00D63D15">
        <w:rPr>
          <w:rFonts w:asciiTheme="minorHAnsi" w:eastAsia="SimSun" w:hAnsiTheme="minorHAnsi"/>
          <w:sz w:val="22"/>
          <w:lang w:val="en-GB"/>
        </w:rPr>
        <w:t>Hence, it is very conceivable that any IAB solutions potentially standardized in Release 16 specifications, may need to operate with either EPC or NGC as the core network, and may also need to continue to operate efficiently in the event of a core network transition from EPC to NGC.</w:t>
      </w:r>
      <w:r w:rsidR="0005218F">
        <w:rPr>
          <w:rFonts w:asciiTheme="minorHAnsi" w:eastAsia="SimSun" w:hAnsiTheme="minorHAnsi"/>
          <w:sz w:val="22"/>
          <w:lang w:val="en-GB"/>
        </w:rPr>
        <w:t xml:space="preserve"> </w:t>
      </w:r>
      <w:r w:rsidR="001C7725" w:rsidRPr="00432E17">
        <w:rPr>
          <w:rFonts w:asciiTheme="minorHAnsi" w:eastAsia="SimSun" w:hAnsiTheme="minorHAnsi"/>
          <w:sz w:val="22"/>
          <w:lang w:val="en-GB"/>
        </w:rPr>
        <w:t>A</w:t>
      </w:r>
      <w:r w:rsidRPr="00432E17">
        <w:rPr>
          <w:rFonts w:asciiTheme="minorHAnsi" w:eastAsia="SimSun" w:hAnsiTheme="minorHAnsi"/>
          <w:sz w:val="22"/>
          <w:lang w:val="en-GB"/>
        </w:rPr>
        <w:t xml:space="preserve">s a </w:t>
      </w:r>
      <w:proofErr w:type="gramStart"/>
      <w:r w:rsidRPr="00432E17">
        <w:rPr>
          <w:rFonts w:asciiTheme="minorHAnsi" w:eastAsia="SimSun" w:hAnsiTheme="minorHAnsi"/>
          <w:sz w:val="22"/>
          <w:lang w:val="en-GB"/>
        </w:rPr>
        <w:t>result</w:t>
      </w:r>
      <w:proofErr w:type="gramEnd"/>
      <w:r w:rsidRPr="00432E17">
        <w:rPr>
          <w:rFonts w:asciiTheme="minorHAnsi" w:eastAsia="SimSun" w:hAnsiTheme="minorHAnsi"/>
          <w:sz w:val="22"/>
          <w:lang w:val="en-GB"/>
        </w:rPr>
        <w:t xml:space="preserve"> the IAB SI TR [2] has captured </w:t>
      </w:r>
      <w:r w:rsidR="001C7725" w:rsidRPr="00432E17">
        <w:rPr>
          <w:rFonts w:asciiTheme="minorHAnsi" w:eastAsia="SimSun" w:hAnsiTheme="minorHAnsi"/>
          <w:sz w:val="22"/>
          <w:lang w:val="en-GB"/>
        </w:rPr>
        <w:t>solutions for IAB</w:t>
      </w:r>
      <w:r w:rsidRPr="00432E17">
        <w:rPr>
          <w:rFonts w:asciiTheme="minorHAnsi" w:eastAsia="SimSun" w:hAnsiTheme="minorHAnsi"/>
          <w:sz w:val="22"/>
          <w:lang w:val="en-GB"/>
        </w:rPr>
        <w:t xml:space="preserve"> </w:t>
      </w:r>
      <w:r w:rsidR="001C7725" w:rsidRPr="00432E17">
        <w:rPr>
          <w:rFonts w:asciiTheme="minorHAnsi" w:eastAsia="SimSun" w:hAnsiTheme="minorHAnsi"/>
          <w:sz w:val="22"/>
          <w:lang w:val="en-GB"/>
        </w:rPr>
        <w:t xml:space="preserve">operation under both SA and NSA deployments. </w:t>
      </w:r>
    </w:p>
    <w:p w:rsidR="0005218F" w:rsidRPr="00432E17" w:rsidRDefault="0005218F" w:rsidP="0005218F">
      <w:pPr>
        <w:spacing w:after="0"/>
        <w:rPr>
          <w:rFonts w:asciiTheme="minorHAnsi" w:eastAsia="SimSun" w:hAnsiTheme="minorHAnsi"/>
          <w:sz w:val="22"/>
          <w:lang w:val="en-GB"/>
        </w:rPr>
      </w:pPr>
    </w:p>
    <w:p w:rsidR="001C7725" w:rsidRPr="00432E17" w:rsidRDefault="001C7725" w:rsidP="001C7725">
      <w:pPr>
        <w:rPr>
          <w:rFonts w:asciiTheme="minorHAnsi" w:eastAsia="SimSun" w:hAnsiTheme="minorHAnsi"/>
          <w:sz w:val="22"/>
          <w:lang w:val="en-GB"/>
        </w:rPr>
      </w:pPr>
      <w:r w:rsidRPr="00432E17">
        <w:rPr>
          <w:rFonts w:asciiTheme="minorHAnsi" w:eastAsia="SimSun" w:hAnsiTheme="minorHAnsi"/>
          <w:sz w:val="22"/>
          <w:lang w:val="en-GB"/>
        </w:rPr>
        <w:t xml:space="preserve">The IAB deployment in Figure 3 illustrates a SA deployment of IAB where the access UEs and IAB DUs receive both control and data bearers on NR.  </w:t>
      </w:r>
    </w:p>
    <w:p w:rsidR="00666A8C" w:rsidRPr="001C7725" w:rsidRDefault="00666A8C" w:rsidP="0005218F">
      <w:pPr>
        <w:jc w:val="center"/>
        <w:rPr>
          <w:lang w:val="en-GB"/>
        </w:rPr>
      </w:pPr>
      <w:r>
        <w:rPr>
          <w:rFonts w:ascii="Times New Roman" w:eastAsia="Malgun Gothic" w:hAnsi="Times New Roman" w:cs="Batang"/>
          <w:b/>
          <w:noProof/>
        </w:rPr>
        <w:drawing>
          <wp:inline distT="0" distB="0" distL="0" distR="0" wp14:anchorId="123B9B36" wp14:editId="13BE2782">
            <wp:extent cx="5751049" cy="1714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90401" cy="1726232"/>
                    </a:xfrm>
                    <a:prstGeom prst="rect">
                      <a:avLst/>
                    </a:prstGeom>
                    <a:noFill/>
                  </pic:spPr>
                </pic:pic>
              </a:graphicData>
            </a:graphic>
          </wp:inline>
        </w:drawing>
      </w:r>
    </w:p>
    <w:p w:rsidR="00666A8C" w:rsidRPr="000C6561" w:rsidRDefault="00666A8C" w:rsidP="00666A8C">
      <w:pPr>
        <w:jc w:val="center"/>
        <w:rPr>
          <w:b/>
          <w:szCs w:val="22"/>
        </w:rPr>
      </w:pPr>
      <w:r>
        <w:rPr>
          <w:b/>
          <w:szCs w:val="22"/>
        </w:rPr>
        <w:t xml:space="preserve">Figure </w:t>
      </w:r>
      <w:r w:rsidR="001C7725">
        <w:rPr>
          <w:b/>
          <w:szCs w:val="22"/>
        </w:rPr>
        <w:t>3</w:t>
      </w:r>
      <w:r w:rsidRPr="000C6561">
        <w:rPr>
          <w:b/>
          <w:szCs w:val="22"/>
        </w:rPr>
        <w:t xml:space="preserve">: </w:t>
      </w:r>
      <w:r>
        <w:rPr>
          <w:b/>
          <w:szCs w:val="22"/>
        </w:rPr>
        <w:t>IAB operation under in a SA deployment</w:t>
      </w:r>
    </w:p>
    <w:p w:rsidR="0005218F" w:rsidRDefault="0005218F" w:rsidP="00666A8C">
      <w:pPr>
        <w:rPr>
          <w:szCs w:val="22"/>
        </w:rPr>
      </w:pPr>
    </w:p>
    <w:p w:rsidR="00666A8C" w:rsidRDefault="00666A8C" w:rsidP="00666A8C">
      <w:pPr>
        <w:rPr>
          <w:szCs w:val="22"/>
        </w:rPr>
      </w:pPr>
      <w:r>
        <w:rPr>
          <w:szCs w:val="22"/>
        </w:rPr>
        <w:t xml:space="preserve">IAB operation (UEs and IAB nodes) under </w:t>
      </w:r>
      <w:proofErr w:type="gramStart"/>
      <w:r>
        <w:rPr>
          <w:szCs w:val="22"/>
        </w:rPr>
        <w:t>a</w:t>
      </w:r>
      <w:proofErr w:type="gramEnd"/>
      <w:r w:rsidR="001C7725">
        <w:rPr>
          <w:szCs w:val="22"/>
        </w:rPr>
        <w:t xml:space="preserve"> NSA architecture i</w:t>
      </w:r>
      <w:r>
        <w:rPr>
          <w:szCs w:val="22"/>
        </w:rPr>
        <w:t xml:space="preserve">s shown in Figure </w:t>
      </w:r>
      <w:r w:rsidR="001C7725">
        <w:rPr>
          <w:szCs w:val="22"/>
        </w:rPr>
        <w:t>4</w:t>
      </w:r>
      <w:r>
        <w:rPr>
          <w:szCs w:val="22"/>
        </w:rPr>
        <w:t>, where the control plane signaling for both access UEs and IAB nodes are provided over LTE.</w:t>
      </w:r>
    </w:p>
    <w:p w:rsidR="00666A8C" w:rsidRDefault="00666A8C" w:rsidP="00666A8C">
      <w:pPr>
        <w:jc w:val="center"/>
        <w:rPr>
          <w:szCs w:val="22"/>
        </w:rPr>
      </w:pPr>
      <w:r w:rsidRPr="00A33C8C">
        <w:rPr>
          <w:noProof/>
          <w:szCs w:val="22"/>
        </w:rPr>
        <w:lastRenderedPageBreak/>
        <w:drawing>
          <wp:inline distT="0" distB="0" distL="0" distR="0" wp14:anchorId="00FE653F" wp14:editId="3A7ECC26">
            <wp:extent cx="3343275" cy="4431995"/>
            <wp:effectExtent l="0" t="0" r="0" b="0"/>
            <wp:docPr id="3" name="Picture 6">
              <a:extLst xmlns:a="http://schemas.openxmlformats.org/drawingml/2006/main">
                <a:ext uri="{FF2B5EF4-FFF2-40B4-BE49-F238E27FC236}">
                  <a16:creationId xmlns:a16="http://schemas.microsoft.com/office/drawing/2014/main" id="{EF38DA08-4844-486B-9C35-7EC824E834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F38DA08-4844-486B-9C35-7EC824E8346A}"/>
                        </a:ext>
                      </a:extLst>
                    </pic:cNvPr>
                    <pic:cNvPicPr>
                      <a:picLocks noChangeAspect="1"/>
                    </pic:cNvPicPr>
                  </pic:nvPicPr>
                  <pic:blipFill>
                    <a:blip r:embed="rId11"/>
                    <a:stretch>
                      <a:fillRect/>
                    </a:stretch>
                  </pic:blipFill>
                  <pic:spPr>
                    <a:xfrm>
                      <a:off x="0" y="0"/>
                      <a:ext cx="3382917" cy="4484546"/>
                    </a:xfrm>
                    <a:prstGeom prst="rect">
                      <a:avLst/>
                    </a:prstGeom>
                  </pic:spPr>
                </pic:pic>
              </a:graphicData>
            </a:graphic>
          </wp:inline>
        </w:drawing>
      </w:r>
    </w:p>
    <w:p w:rsidR="00666A8C" w:rsidRDefault="00666A8C" w:rsidP="00666A8C">
      <w:pPr>
        <w:jc w:val="center"/>
        <w:rPr>
          <w:b/>
          <w:szCs w:val="22"/>
        </w:rPr>
      </w:pPr>
      <w:r w:rsidRPr="00BD5910">
        <w:rPr>
          <w:b/>
          <w:szCs w:val="22"/>
        </w:rPr>
        <w:t xml:space="preserve">Figure </w:t>
      </w:r>
      <w:r w:rsidR="001C7725">
        <w:rPr>
          <w:b/>
          <w:szCs w:val="22"/>
        </w:rPr>
        <w:t>4</w:t>
      </w:r>
      <w:r w:rsidRPr="00BD5910">
        <w:rPr>
          <w:b/>
          <w:szCs w:val="22"/>
        </w:rPr>
        <w:t xml:space="preserve">: IAB operation in </w:t>
      </w:r>
      <w:proofErr w:type="gramStart"/>
      <w:r w:rsidRPr="00BD5910">
        <w:rPr>
          <w:b/>
          <w:szCs w:val="22"/>
        </w:rPr>
        <w:t>a</w:t>
      </w:r>
      <w:proofErr w:type="gramEnd"/>
      <w:r w:rsidRPr="00BD5910">
        <w:rPr>
          <w:b/>
          <w:szCs w:val="22"/>
        </w:rPr>
        <w:t xml:space="preserve"> NSA deployment</w:t>
      </w:r>
    </w:p>
    <w:p w:rsidR="00666A8C" w:rsidRDefault="00666A8C" w:rsidP="00666A8C">
      <w:pPr>
        <w:jc w:val="center"/>
        <w:rPr>
          <w:b/>
          <w:szCs w:val="22"/>
        </w:rPr>
      </w:pPr>
    </w:p>
    <w:p w:rsidR="00666A8C" w:rsidRPr="00D71D00" w:rsidRDefault="00666A8C" w:rsidP="00666A8C">
      <w:pPr>
        <w:rPr>
          <w:szCs w:val="22"/>
        </w:rPr>
      </w:pPr>
      <w:r w:rsidRPr="00D71D00">
        <w:rPr>
          <w:szCs w:val="22"/>
        </w:rPr>
        <w:t xml:space="preserve">Under NSA operation, access UEs are connected to the network by performing initial access procedures (e.g. synchronization signal detection and </w:t>
      </w:r>
      <w:proofErr w:type="gramStart"/>
      <w:r w:rsidRPr="00D71D00">
        <w:rPr>
          <w:szCs w:val="22"/>
        </w:rPr>
        <w:t>random access</w:t>
      </w:r>
      <w:proofErr w:type="gramEnd"/>
      <w:r w:rsidRPr="00D71D00">
        <w:rPr>
          <w:szCs w:val="22"/>
        </w:rPr>
        <w:t xml:space="preserve"> procedure) via LTE and then are able to access one or more NR cells via dual connectivity procedures such as secondary node addition.</w:t>
      </w:r>
    </w:p>
    <w:p w:rsidR="00666A8C" w:rsidRDefault="00666A8C" w:rsidP="00666A8C">
      <w:pPr>
        <w:rPr>
          <w:szCs w:val="22"/>
        </w:rPr>
      </w:pPr>
      <w:r>
        <w:rPr>
          <w:szCs w:val="22"/>
        </w:rPr>
        <w:t>In the case of IAB</w:t>
      </w:r>
      <w:r w:rsidRPr="00E535A6">
        <w:rPr>
          <w:szCs w:val="22"/>
        </w:rPr>
        <w:t xml:space="preserve"> operati</w:t>
      </w:r>
      <w:r>
        <w:rPr>
          <w:szCs w:val="22"/>
        </w:rPr>
        <w:t>on</w:t>
      </w:r>
      <w:r w:rsidRPr="00E535A6">
        <w:rPr>
          <w:szCs w:val="22"/>
        </w:rPr>
        <w:t xml:space="preserve"> under an NSA architecture, initial access and mobility are provided by the </w:t>
      </w:r>
      <w:r>
        <w:rPr>
          <w:szCs w:val="22"/>
        </w:rPr>
        <w:t>LTE MCG in case of EN-DC</w:t>
      </w:r>
      <w:r w:rsidRPr="00E535A6">
        <w:rPr>
          <w:szCs w:val="22"/>
        </w:rPr>
        <w:t xml:space="preserve">, </w:t>
      </w:r>
      <w:r>
        <w:rPr>
          <w:szCs w:val="22"/>
        </w:rPr>
        <w:t>can be much more efficient than if a SA architecture is required for IAB nodes where</w:t>
      </w:r>
      <w:r w:rsidRPr="00E535A6">
        <w:rPr>
          <w:szCs w:val="22"/>
        </w:rPr>
        <w:t xml:space="preserve"> system information broadcast, paging, and other IDLE mode transmissions </w:t>
      </w:r>
      <w:r>
        <w:rPr>
          <w:szCs w:val="22"/>
        </w:rPr>
        <w:t>are required</w:t>
      </w:r>
      <w:r w:rsidRPr="00E535A6">
        <w:rPr>
          <w:szCs w:val="22"/>
        </w:rPr>
        <w:t>, thus reducing the overall overhead required to support multiplexing of access and backhaul traffic.</w:t>
      </w:r>
      <w:r>
        <w:rPr>
          <w:szCs w:val="22"/>
        </w:rPr>
        <w:t xml:space="preserve"> </w:t>
      </w:r>
      <w:proofErr w:type="gramStart"/>
      <w:r>
        <w:rPr>
          <w:szCs w:val="22"/>
        </w:rPr>
        <w:t>However</w:t>
      </w:r>
      <w:proofErr w:type="gramEnd"/>
      <w:r>
        <w:rPr>
          <w:szCs w:val="22"/>
        </w:rPr>
        <w:t xml:space="preserve"> the IAB node’s MT must also have LTE receiver functionality.  The LTE MCG can also be used for providing future routing updates and assist in topology adaptation procedures (e.g. SN change).</w:t>
      </w:r>
    </w:p>
    <w:p w:rsidR="001C7725" w:rsidRDefault="001C7725" w:rsidP="001C7725">
      <w:pPr>
        <w:pStyle w:val="maintext"/>
        <w:ind w:firstLineChars="0" w:firstLine="0"/>
        <w:rPr>
          <w:rFonts w:asciiTheme="minorHAnsi" w:eastAsia="SimSun" w:hAnsiTheme="minorHAnsi"/>
          <w:b/>
          <w:sz w:val="22"/>
        </w:rPr>
      </w:pPr>
      <w:r>
        <w:rPr>
          <w:rFonts w:asciiTheme="minorHAnsi" w:eastAsia="SimSun" w:hAnsiTheme="minorHAnsi"/>
          <w:b/>
          <w:bCs/>
          <w:sz w:val="22"/>
        </w:rPr>
        <w:t>Observation</w:t>
      </w:r>
      <w:r w:rsidRPr="00A64511">
        <w:rPr>
          <w:rFonts w:asciiTheme="minorHAnsi" w:eastAsia="SimSun" w:hAnsiTheme="minorHAnsi"/>
          <w:b/>
          <w:sz w:val="22"/>
        </w:rPr>
        <w:t xml:space="preserve">: </w:t>
      </w:r>
      <w:r>
        <w:rPr>
          <w:rFonts w:asciiTheme="minorHAnsi" w:eastAsia="SimSun" w:hAnsiTheme="minorHAnsi"/>
          <w:b/>
          <w:sz w:val="22"/>
        </w:rPr>
        <w:t xml:space="preserve">IAB operation under NSA supports early deployments of NR and provides benefits in terms of reduced overhead and increased robustness for IAB topology management and control plane signalling. </w:t>
      </w:r>
    </w:p>
    <w:p w:rsidR="0005218F" w:rsidRDefault="0005218F" w:rsidP="001C7725">
      <w:pPr>
        <w:pStyle w:val="maintext"/>
        <w:ind w:firstLineChars="0" w:firstLine="0"/>
        <w:rPr>
          <w:rFonts w:asciiTheme="minorHAnsi" w:eastAsia="SimSun" w:hAnsiTheme="minorHAnsi"/>
          <w:b/>
          <w:sz w:val="22"/>
        </w:rPr>
      </w:pPr>
    </w:p>
    <w:p w:rsidR="001C7725" w:rsidRDefault="001C7725" w:rsidP="001C7725">
      <w:pPr>
        <w:pStyle w:val="maintext"/>
        <w:ind w:firstLineChars="0" w:firstLine="0"/>
        <w:rPr>
          <w:rFonts w:asciiTheme="minorHAnsi" w:eastAsia="SimSun" w:hAnsiTheme="minorHAnsi"/>
          <w:b/>
          <w:sz w:val="22"/>
        </w:rPr>
      </w:pPr>
      <w:r>
        <w:rPr>
          <w:rFonts w:asciiTheme="minorHAnsi" w:eastAsia="SimSun" w:hAnsiTheme="minorHAnsi"/>
          <w:b/>
          <w:sz w:val="22"/>
        </w:rPr>
        <w:t>Proposal</w:t>
      </w:r>
      <w:r w:rsidR="0005218F">
        <w:rPr>
          <w:rFonts w:asciiTheme="minorHAnsi" w:eastAsia="SimSun" w:hAnsiTheme="minorHAnsi"/>
          <w:b/>
          <w:sz w:val="22"/>
        </w:rPr>
        <w:t xml:space="preserve"> 1</w:t>
      </w:r>
      <w:r>
        <w:rPr>
          <w:rFonts w:asciiTheme="minorHAnsi" w:eastAsia="SimSun" w:hAnsiTheme="minorHAnsi"/>
          <w:b/>
          <w:sz w:val="22"/>
        </w:rPr>
        <w:t>: Both NSA and SA operation for IAB-nodes should be supported in the Rel-16 IAB WI.</w:t>
      </w:r>
    </w:p>
    <w:p w:rsidR="00666A8C" w:rsidRDefault="00666A8C" w:rsidP="00FB2665">
      <w:pPr>
        <w:pStyle w:val="maintext"/>
        <w:ind w:firstLineChars="0" w:firstLine="0"/>
      </w:pPr>
    </w:p>
    <w:p w:rsidR="009718DD" w:rsidRDefault="00F101B8" w:rsidP="00C66761">
      <w:pPr>
        <w:pStyle w:val="Heading1"/>
      </w:pPr>
      <w:r>
        <w:t xml:space="preserve">Multi-Connectivity for IAB </w:t>
      </w:r>
      <w:r w:rsidR="009718DD">
        <w:t xml:space="preserve">Route </w:t>
      </w:r>
      <w:r>
        <w:t xml:space="preserve">Management </w:t>
      </w:r>
    </w:p>
    <w:p w:rsidR="009718DD" w:rsidRPr="0005218F" w:rsidRDefault="009718DD" w:rsidP="009718DD">
      <w:pPr>
        <w:rPr>
          <w:szCs w:val="22"/>
        </w:rPr>
      </w:pPr>
      <w:r w:rsidRPr="0005218F">
        <w:rPr>
          <w:szCs w:val="22"/>
        </w:rPr>
        <w:t xml:space="preserve">For densely deployed mmWave NR systems, the area covered by an NR node can be quite small, so a dense deployment of NR nodes </w:t>
      </w:r>
      <w:proofErr w:type="gramStart"/>
      <w:r w:rsidRPr="0005218F">
        <w:rPr>
          <w:szCs w:val="22"/>
        </w:rPr>
        <w:t>in a given</w:t>
      </w:r>
      <w:proofErr w:type="gramEnd"/>
      <w:r w:rsidRPr="0005218F">
        <w:rPr>
          <w:szCs w:val="22"/>
        </w:rPr>
        <w:t xml:space="preserve"> area could require a significantly larger number of deployment sites. There is considerable interest in being able to deploy NR nodes without fiber access to every deployment site. Due to large available bandwidths in mmWave spectrum bands, and the ability to deploy narrow beams using multi-antenna </w:t>
      </w:r>
      <w:r w:rsidRPr="0005218F">
        <w:rPr>
          <w:szCs w:val="22"/>
        </w:rPr>
        <w:lastRenderedPageBreak/>
        <w:t>element arrays, it may be more feasible to support self-backhauled links for NR systems operating in mmWave spectrum as shown in Figure 5.</w:t>
      </w:r>
    </w:p>
    <w:p w:rsidR="009718DD" w:rsidRPr="0005218F" w:rsidRDefault="009718DD" w:rsidP="009718DD">
      <w:pPr>
        <w:rPr>
          <w:szCs w:val="22"/>
        </w:rPr>
      </w:pPr>
      <w:r w:rsidRPr="0005218F">
        <w:rPr>
          <w:szCs w:val="22"/>
        </w:rPr>
        <w:t>Figure 5 below shows an example scenario where IAB</w:t>
      </w:r>
      <w:r w:rsidR="00576764">
        <w:rPr>
          <w:szCs w:val="22"/>
        </w:rPr>
        <w:t xml:space="preserve"> backhaul</w:t>
      </w:r>
      <w:r w:rsidRPr="0005218F">
        <w:rPr>
          <w:szCs w:val="22"/>
        </w:rPr>
        <w:t xml:space="preserve"> link</w:t>
      </w:r>
      <w:r w:rsidR="00576764">
        <w:rPr>
          <w:szCs w:val="22"/>
        </w:rPr>
        <w:t>s</w:t>
      </w:r>
      <w:r w:rsidRPr="0005218F">
        <w:rPr>
          <w:szCs w:val="22"/>
        </w:rPr>
        <w:t xml:space="preserve"> could be used to connect multiple IAB DUs DU3 and DU4 (e.g. across one or more hops) to DU1, which has fiber access to the CU.</w:t>
      </w:r>
    </w:p>
    <w:p w:rsidR="009718DD" w:rsidRDefault="009718DD" w:rsidP="009718DD">
      <w:pPr>
        <w:jc w:val="center"/>
        <w:rPr>
          <w:rFonts w:eastAsiaTheme="minorHAnsi" w:cs="Arial"/>
          <w:color w:val="000000" w:themeColor="text1"/>
        </w:rPr>
      </w:pPr>
      <w:r w:rsidRPr="00F13188">
        <w:rPr>
          <w:rFonts w:ascii="Calibri" w:hAnsi="Calibri" w:cs="Arial"/>
          <w:lang w:val="en-GB"/>
        </w:rPr>
        <w:t xml:space="preserve"> </w:t>
      </w:r>
      <w:r>
        <w:rPr>
          <w:rFonts w:ascii="Calibri" w:hAnsi="Calibri" w:cs="Arial"/>
          <w:noProof/>
        </w:rPr>
        <w:drawing>
          <wp:inline distT="0" distB="0" distL="0" distR="0" wp14:anchorId="0BDA5C27" wp14:editId="530E0D39">
            <wp:extent cx="3847547" cy="275272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75468" cy="2772701"/>
                    </a:xfrm>
                    <a:prstGeom prst="rect">
                      <a:avLst/>
                    </a:prstGeom>
                    <a:noFill/>
                  </pic:spPr>
                </pic:pic>
              </a:graphicData>
            </a:graphic>
          </wp:inline>
        </w:drawing>
      </w:r>
    </w:p>
    <w:p w:rsidR="009718DD" w:rsidRDefault="009718DD" w:rsidP="009718DD">
      <w:pPr>
        <w:spacing w:after="0"/>
        <w:jc w:val="center"/>
        <w:rPr>
          <w:rFonts w:cs="Arial"/>
          <w:b/>
          <w:bCs/>
          <w:color w:val="000000" w:themeColor="text1"/>
        </w:rPr>
      </w:pPr>
      <w:r>
        <w:rPr>
          <w:rFonts w:cs="Arial"/>
          <w:b/>
          <w:bCs/>
          <w:color w:val="000000" w:themeColor="text1"/>
        </w:rPr>
        <w:t>Figure 5: Support for UE mobility in an IAB Scenario</w:t>
      </w:r>
    </w:p>
    <w:p w:rsidR="009718DD" w:rsidRDefault="009718DD" w:rsidP="009718DD">
      <w:pPr>
        <w:rPr>
          <w:lang w:val="en-GB"/>
        </w:rPr>
      </w:pPr>
      <w:r>
        <w:rPr>
          <w:lang w:val="en-GB"/>
        </w:rPr>
        <w:t xml:space="preserve"> </w:t>
      </w:r>
    </w:p>
    <w:p w:rsidR="0005218F" w:rsidRPr="00C76C87" w:rsidRDefault="0005218F" w:rsidP="0005218F">
      <w:pPr>
        <w:rPr>
          <w:lang w:val="en-GB"/>
        </w:rPr>
      </w:pPr>
      <w:r>
        <w:t>At mmWave frequencies, the channel experienced by a UE may suffer from blockage events that could result in sudden sharp drops in signal strength (of the order of 30 dB) due to phys</w:t>
      </w:r>
      <w:r w:rsidR="00576764">
        <w:t>ical objects blocking the UE-IAB node</w:t>
      </w:r>
      <w:r>
        <w:t xml:space="preserve"> link. Depending on environmental factors and user mobility, frequent beam failure events due to blockage can occur, potentially resulting in frequent beam switches. </w:t>
      </w:r>
      <w:proofErr w:type="gramStart"/>
      <w:r>
        <w:t>However</w:t>
      </w:r>
      <w:proofErr w:type="gramEnd"/>
      <w:r>
        <w:t xml:space="preserve"> </w:t>
      </w:r>
      <w:r>
        <w:rPr>
          <w:lang w:val="en-GB"/>
        </w:rPr>
        <w:t>if intra-frequency dual connectivity or multi-co</w:t>
      </w:r>
      <w:r w:rsidR="00576764">
        <w:rPr>
          <w:lang w:val="en-GB"/>
        </w:rPr>
        <w:t>nnectivity is enabled</w:t>
      </w:r>
      <w:r>
        <w:rPr>
          <w:lang w:val="en-GB"/>
        </w:rPr>
        <w:t>, it could significantly help in reduction of</w:t>
      </w:r>
      <w:r w:rsidR="00576764">
        <w:rPr>
          <w:lang w:val="en-GB"/>
        </w:rPr>
        <w:t xml:space="preserve"> user plane</w:t>
      </w:r>
      <w:r>
        <w:rPr>
          <w:lang w:val="en-GB"/>
        </w:rPr>
        <w:t xml:space="preserve"> interruption</w:t>
      </w:r>
      <w:r w:rsidR="00576764">
        <w:rPr>
          <w:lang w:val="en-GB"/>
        </w:rPr>
        <w:t>.</w:t>
      </w:r>
      <w:r>
        <w:rPr>
          <w:lang w:val="en-GB"/>
        </w:rPr>
        <w:t xml:space="preserve"> </w:t>
      </w:r>
      <w:r w:rsidRPr="008226E4">
        <w:rPr>
          <w:lang w:val="en-GB"/>
        </w:rPr>
        <w:t>As a</w:t>
      </w:r>
      <w:r w:rsidR="00576764">
        <w:rPr>
          <w:lang w:val="en-GB"/>
        </w:rPr>
        <w:t xml:space="preserve"> result, multi-connectivity is </w:t>
      </w:r>
      <w:r>
        <w:rPr>
          <w:lang w:val="en-GB"/>
        </w:rPr>
        <w:t>a</w:t>
      </w:r>
      <w:r w:rsidRPr="008226E4">
        <w:rPr>
          <w:lang w:val="en-GB"/>
        </w:rPr>
        <w:t xml:space="preserve"> critical feature </w:t>
      </w:r>
      <w:r>
        <w:rPr>
          <w:lang w:val="en-GB"/>
        </w:rPr>
        <w:t xml:space="preserve">for IAB </w:t>
      </w:r>
      <w:r w:rsidRPr="008226E4">
        <w:rPr>
          <w:lang w:val="en-GB"/>
        </w:rPr>
        <w:t xml:space="preserve">to support robustness and fast route selection in case of blockage events as shown in Figure </w:t>
      </w:r>
      <w:r w:rsidR="00D20FA8">
        <w:rPr>
          <w:lang w:val="en-GB"/>
        </w:rPr>
        <w:t>6</w:t>
      </w:r>
      <w:r w:rsidRPr="008226E4">
        <w:rPr>
          <w:lang w:val="en-GB"/>
        </w:rPr>
        <w:t>.</w:t>
      </w:r>
      <w:r w:rsidRPr="00E725D9">
        <w:rPr>
          <w:lang w:val="en-GB"/>
        </w:rPr>
        <w:t xml:space="preserve"> </w:t>
      </w:r>
    </w:p>
    <w:p w:rsidR="0005218F" w:rsidRDefault="0005218F" w:rsidP="0005218F">
      <w:pPr>
        <w:pStyle w:val="paragraph"/>
        <w:spacing w:before="0" w:beforeAutospacing="0" w:after="0" w:afterAutospacing="0"/>
        <w:textAlignment w:val="baseline"/>
        <w:rPr>
          <w:rFonts w:asciiTheme="minorHAnsi" w:eastAsia="SimSun" w:hAnsiTheme="minorHAnsi"/>
          <w:sz w:val="22"/>
          <w:szCs w:val="20"/>
        </w:rPr>
      </w:pPr>
    </w:p>
    <w:p w:rsidR="0005218F" w:rsidRDefault="00576764" w:rsidP="0005218F">
      <w:pPr>
        <w:pStyle w:val="paragraph"/>
        <w:spacing w:before="0" w:beforeAutospacing="0" w:after="0" w:afterAutospacing="0"/>
        <w:jc w:val="center"/>
        <w:textAlignment w:val="baseline"/>
        <w:rPr>
          <w:rFonts w:asciiTheme="minorHAnsi" w:eastAsia="SimSun" w:hAnsiTheme="minorHAnsi"/>
          <w:sz w:val="22"/>
          <w:szCs w:val="20"/>
        </w:rPr>
      </w:pPr>
      <w:r>
        <w:rPr>
          <w:rFonts w:asciiTheme="minorHAnsi" w:eastAsia="SimSun" w:hAnsiTheme="minorHAnsi"/>
          <w:noProof/>
          <w:sz w:val="22"/>
          <w:szCs w:val="20"/>
        </w:rPr>
        <w:drawing>
          <wp:inline distT="0" distB="0" distL="0" distR="0" wp14:anchorId="6BBF8B15">
            <wp:extent cx="3181350" cy="32496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89058" cy="3257487"/>
                    </a:xfrm>
                    <a:prstGeom prst="rect">
                      <a:avLst/>
                    </a:prstGeom>
                    <a:noFill/>
                  </pic:spPr>
                </pic:pic>
              </a:graphicData>
            </a:graphic>
          </wp:inline>
        </w:drawing>
      </w:r>
    </w:p>
    <w:p w:rsidR="0005218F" w:rsidRPr="00D25F6D" w:rsidRDefault="0005218F" w:rsidP="0005218F">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sz w:val="22"/>
          <w:szCs w:val="20"/>
        </w:rPr>
        <w:t xml:space="preserve">Figure </w:t>
      </w:r>
      <w:r w:rsidR="00D20FA8">
        <w:rPr>
          <w:rFonts w:asciiTheme="minorHAnsi" w:eastAsia="SimSun" w:hAnsiTheme="minorHAnsi"/>
          <w:b/>
          <w:sz w:val="22"/>
          <w:szCs w:val="20"/>
        </w:rPr>
        <w:t>6</w:t>
      </w:r>
      <w:r>
        <w:rPr>
          <w:rFonts w:asciiTheme="minorHAnsi" w:eastAsia="SimSun" w:hAnsiTheme="minorHAnsi"/>
          <w:b/>
          <w:sz w:val="22"/>
          <w:szCs w:val="20"/>
        </w:rPr>
        <w:t>: Multi-connectivity for IAB</w:t>
      </w:r>
    </w:p>
    <w:p w:rsidR="0005218F" w:rsidRDefault="0005218F" w:rsidP="0005218F">
      <w:pPr>
        <w:pStyle w:val="paragraph"/>
        <w:spacing w:before="0" w:beforeAutospacing="0" w:after="0" w:afterAutospacing="0"/>
        <w:textAlignment w:val="baseline"/>
        <w:rPr>
          <w:rFonts w:asciiTheme="minorHAnsi" w:eastAsia="SimSun" w:hAnsiTheme="minorHAnsi"/>
          <w:sz w:val="22"/>
          <w:szCs w:val="20"/>
        </w:rPr>
      </w:pPr>
    </w:p>
    <w:p w:rsidR="0005218F" w:rsidRPr="00A32002" w:rsidRDefault="0005218F" w:rsidP="0005218F">
      <w:pPr>
        <w:pStyle w:val="BodyText"/>
        <w:rPr>
          <w:rFonts w:asciiTheme="minorHAnsi" w:eastAsia="SimSun" w:hAnsiTheme="minorHAnsi"/>
          <w:sz w:val="22"/>
        </w:rPr>
      </w:pPr>
      <w:r>
        <w:rPr>
          <w:rFonts w:asciiTheme="minorHAnsi" w:eastAsia="SimSun" w:hAnsiTheme="minorHAnsi"/>
          <w:sz w:val="22"/>
        </w:rPr>
        <w:lastRenderedPageBreak/>
        <w:t>In addition to support for redundant routes via multi-connectivity, IAB should have support</w:t>
      </w:r>
      <w:r w:rsidRPr="00A32002">
        <w:rPr>
          <w:rFonts w:asciiTheme="minorHAnsi" w:eastAsia="SimSun" w:hAnsiTheme="minorHAnsi"/>
          <w:sz w:val="22"/>
        </w:rPr>
        <w:t xml:space="preserve"> for low-latency control </w:t>
      </w:r>
      <w:r>
        <w:rPr>
          <w:rFonts w:asciiTheme="minorHAnsi" w:eastAsia="SimSun" w:hAnsiTheme="minorHAnsi"/>
          <w:sz w:val="22"/>
        </w:rPr>
        <w:t>plane and data routing procedures</w:t>
      </w:r>
      <w:r w:rsidRPr="00A32002">
        <w:rPr>
          <w:rFonts w:asciiTheme="minorHAnsi" w:eastAsia="SimSun" w:hAnsiTheme="minorHAnsi"/>
          <w:sz w:val="22"/>
        </w:rPr>
        <w:t xml:space="preserve"> </w:t>
      </w:r>
      <w:r>
        <w:rPr>
          <w:rFonts w:asciiTheme="minorHAnsi" w:eastAsia="SimSun" w:hAnsiTheme="minorHAnsi"/>
          <w:sz w:val="22"/>
        </w:rPr>
        <w:t>with</w:t>
      </w:r>
      <w:r w:rsidRPr="00A32002">
        <w:rPr>
          <w:rFonts w:asciiTheme="minorHAnsi" w:eastAsia="SimSun" w:hAnsiTheme="minorHAnsi"/>
          <w:sz w:val="22"/>
        </w:rPr>
        <w:t xml:space="preserve"> dynamic route selection (faster than RRC time scales). This </w:t>
      </w:r>
      <w:r>
        <w:rPr>
          <w:rFonts w:asciiTheme="minorHAnsi" w:eastAsia="SimSun" w:hAnsiTheme="minorHAnsi"/>
          <w:sz w:val="22"/>
        </w:rPr>
        <w:t>ensures that latency and user interruption is minimized while the network</w:t>
      </w:r>
      <w:r w:rsidRPr="00A32002">
        <w:rPr>
          <w:rFonts w:asciiTheme="minorHAnsi" w:eastAsia="SimSun" w:hAnsiTheme="minorHAnsi"/>
          <w:sz w:val="22"/>
        </w:rPr>
        <w:t xml:space="preserve"> find</w:t>
      </w:r>
      <w:r>
        <w:rPr>
          <w:rFonts w:asciiTheme="minorHAnsi" w:eastAsia="SimSun" w:hAnsiTheme="minorHAnsi"/>
          <w:sz w:val="22"/>
        </w:rPr>
        <w:t>s</w:t>
      </w:r>
      <w:r w:rsidRPr="00A32002">
        <w:rPr>
          <w:rFonts w:asciiTheme="minorHAnsi" w:eastAsia="SimSun" w:hAnsiTheme="minorHAnsi"/>
          <w:sz w:val="22"/>
        </w:rPr>
        <w:t xml:space="preserve"> an alternate route to the UE when the current route is blocked. Since blocking in mmWave happens over short time-scales, this constraint should be considered as an integral part of the IAB design and mechanisms for blockage and load-aware r</w:t>
      </w:r>
      <w:r w:rsidR="002F3D44">
        <w:rPr>
          <w:rFonts w:asciiTheme="minorHAnsi" w:eastAsia="SimSun" w:hAnsiTheme="minorHAnsi"/>
          <w:sz w:val="22"/>
        </w:rPr>
        <w:t>oute selection should be specified in Rel-16</w:t>
      </w:r>
      <w:r w:rsidRPr="00A32002">
        <w:rPr>
          <w:rFonts w:asciiTheme="minorHAnsi" w:eastAsia="SimSun" w:hAnsiTheme="minorHAnsi"/>
          <w:sz w:val="22"/>
        </w:rPr>
        <w:t>.</w:t>
      </w:r>
    </w:p>
    <w:p w:rsidR="0005218F" w:rsidRPr="00D20FA8" w:rsidRDefault="0005218F" w:rsidP="0005218F">
      <w:pPr>
        <w:rPr>
          <w:rFonts w:asciiTheme="minorHAnsi" w:eastAsia="SimSun" w:hAnsiTheme="minorHAnsi"/>
          <w:sz w:val="22"/>
        </w:rPr>
      </w:pPr>
      <w:r w:rsidRPr="00D20FA8">
        <w:rPr>
          <w:rFonts w:asciiTheme="minorHAnsi" w:eastAsia="SimSun" w:hAnsiTheme="minorHAnsi"/>
          <w:sz w:val="22"/>
        </w:rPr>
        <w:t xml:space="preserve">Solutions </w:t>
      </w:r>
      <w:r w:rsidR="00ED0416">
        <w:rPr>
          <w:rFonts w:asciiTheme="minorHAnsi" w:eastAsia="SimSun" w:hAnsiTheme="minorHAnsi"/>
          <w:sz w:val="22"/>
        </w:rPr>
        <w:t xml:space="preserve">studied in the SI </w:t>
      </w:r>
      <w:r w:rsidRPr="00D20FA8">
        <w:rPr>
          <w:rFonts w:asciiTheme="minorHAnsi" w:eastAsia="SimSun" w:hAnsiTheme="minorHAnsi"/>
          <w:sz w:val="22"/>
        </w:rPr>
        <w:t>include utilizing</w:t>
      </w:r>
      <w:r w:rsidR="007007F5">
        <w:rPr>
          <w:rFonts w:asciiTheme="minorHAnsi" w:eastAsia="SimSun" w:hAnsiTheme="minorHAnsi"/>
          <w:sz w:val="22"/>
        </w:rPr>
        <w:t xml:space="preserve"> NR-NR DC</w:t>
      </w:r>
      <w:r w:rsidR="00FD176A">
        <w:rPr>
          <w:rFonts w:asciiTheme="minorHAnsi" w:eastAsia="SimSun" w:hAnsiTheme="minorHAnsi"/>
          <w:sz w:val="22"/>
        </w:rPr>
        <w:t xml:space="preserve"> and</w:t>
      </w:r>
      <w:r w:rsidR="007007F5">
        <w:rPr>
          <w:rFonts w:asciiTheme="minorHAnsi" w:eastAsia="SimSun" w:hAnsiTheme="minorHAnsi"/>
          <w:sz w:val="22"/>
        </w:rPr>
        <w:t xml:space="preserve"> </w:t>
      </w:r>
      <w:r w:rsidRPr="00D20FA8">
        <w:rPr>
          <w:rFonts w:asciiTheme="minorHAnsi" w:eastAsia="SimSun" w:hAnsiTheme="minorHAnsi"/>
          <w:sz w:val="22"/>
        </w:rPr>
        <w:t>dynamic flow control mechanisms to determine the routing of traffic across different links and upon beam failure events as described above</w:t>
      </w:r>
      <w:r w:rsidR="00FD176A">
        <w:rPr>
          <w:rFonts w:asciiTheme="minorHAnsi" w:eastAsia="SimSun" w:hAnsiTheme="minorHAnsi"/>
          <w:sz w:val="22"/>
        </w:rPr>
        <w:t>.</w:t>
      </w:r>
      <w:r w:rsidRPr="00D20FA8">
        <w:rPr>
          <w:rFonts w:asciiTheme="minorHAnsi" w:eastAsia="SimSun" w:hAnsiTheme="minorHAnsi"/>
          <w:sz w:val="22"/>
        </w:rPr>
        <w:t xml:space="preserve"> </w:t>
      </w:r>
      <w:r w:rsidR="00FD176A">
        <w:rPr>
          <w:rFonts w:asciiTheme="minorHAnsi" w:eastAsia="SimSun" w:hAnsiTheme="minorHAnsi"/>
          <w:sz w:val="22"/>
        </w:rPr>
        <w:t>The latter may benefit from</w:t>
      </w:r>
      <w:r w:rsidRPr="00D20FA8">
        <w:rPr>
          <w:rFonts w:asciiTheme="minorHAnsi" w:eastAsia="SimSun" w:hAnsiTheme="minorHAnsi"/>
          <w:sz w:val="22"/>
        </w:rPr>
        <w:t xml:space="preserve"> utilization of fast centralized retransmissions of lost RLC PDUs across different multi-connectivity legs to quickly recover from failed transmissions which is alrea</w:t>
      </w:r>
      <w:r w:rsidR="00D20FA8">
        <w:rPr>
          <w:rFonts w:asciiTheme="minorHAnsi" w:eastAsia="SimSun" w:hAnsiTheme="minorHAnsi"/>
          <w:sz w:val="22"/>
        </w:rPr>
        <w:t>dy supported by NR in Rel. 15</w:t>
      </w:r>
      <w:r w:rsidR="00ED0416">
        <w:rPr>
          <w:rFonts w:asciiTheme="minorHAnsi" w:eastAsia="SimSun" w:hAnsiTheme="minorHAnsi"/>
          <w:sz w:val="22"/>
        </w:rPr>
        <w:t xml:space="preserve"> and may require minimal enhancements in order to be support</w:t>
      </w:r>
      <w:r w:rsidR="00FD176A">
        <w:rPr>
          <w:rFonts w:asciiTheme="minorHAnsi" w:eastAsia="SimSun" w:hAnsiTheme="minorHAnsi"/>
          <w:sz w:val="22"/>
        </w:rPr>
        <w:t>ed</w:t>
      </w:r>
      <w:r w:rsidR="00ED0416">
        <w:rPr>
          <w:rFonts w:asciiTheme="minorHAnsi" w:eastAsia="SimSun" w:hAnsiTheme="minorHAnsi"/>
          <w:sz w:val="22"/>
        </w:rPr>
        <w:t xml:space="preserve"> across multiple backhaul hops</w:t>
      </w:r>
      <w:r w:rsidR="00D20FA8">
        <w:rPr>
          <w:rFonts w:asciiTheme="minorHAnsi" w:eastAsia="SimSun" w:hAnsiTheme="minorHAnsi"/>
          <w:sz w:val="22"/>
        </w:rPr>
        <w:t xml:space="preserve"> [3</w:t>
      </w:r>
      <w:r w:rsidRPr="00D20FA8">
        <w:rPr>
          <w:rFonts w:asciiTheme="minorHAnsi" w:eastAsia="SimSun" w:hAnsiTheme="minorHAnsi"/>
          <w:sz w:val="22"/>
        </w:rPr>
        <w:t>].</w:t>
      </w:r>
    </w:p>
    <w:p w:rsidR="009718DD" w:rsidRDefault="001C7725" w:rsidP="00576764">
      <w:pPr>
        <w:pStyle w:val="paragraph"/>
        <w:spacing w:before="0" w:beforeAutospacing="0" w:after="0" w:afterAutospacing="0"/>
        <w:jc w:val="both"/>
        <w:textAlignment w:val="baseline"/>
        <w:rPr>
          <w:rFonts w:asciiTheme="minorHAnsi" w:eastAsia="SimSun" w:hAnsiTheme="minorHAnsi"/>
          <w:b/>
          <w:sz w:val="22"/>
          <w:szCs w:val="20"/>
        </w:rPr>
      </w:pPr>
      <w:r>
        <w:rPr>
          <w:rFonts w:asciiTheme="minorHAnsi" w:eastAsia="SimSun" w:hAnsiTheme="minorHAnsi"/>
          <w:b/>
          <w:sz w:val="22"/>
          <w:szCs w:val="20"/>
        </w:rPr>
        <w:t>Proposal</w:t>
      </w:r>
      <w:r w:rsidR="00FD176A">
        <w:rPr>
          <w:rFonts w:asciiTheme="minorHAnsi" w:eastAsia="SimSun" w:hAnsiTheme="minorHAnsi"/>
          <w:b/>
          <w:sz w:val="22"/>
          <w:szCs w:val="20"/>
        </w:rPr>
        <w:t xml:space="preserve"> 2</w:t>
      </w:r>
      <w:r w:rsidR="009718DD" w:rsidRPr="00B63945">
        <w:rPr>
          <w:rFonts w:asciiTheme="minorHAnsi" w:eastAsia="SimSun" w:hAnsiTheme="minorHAnsi"/>
          <w:b/>
          <w:sz w:val="22"/>
          <w:szCs w:val="20"/>
        </w:rPr>
        <w:t xml:space="preserve">: The IAB design </w:t>
      </w:r>
      <w:r>
        <w:rPr>
          <w:rFonts w:asciiTheme="minorHAnsi" w:eastAsia="SimSun" w:hAnsiTheme="minorHAnsi"/>
          <w:b/>
          <w:sz w:val="22"/>
          <w:szCs w:val="20"/>
        </w:rPr>
        <w:t xml:space="preserve">in Rel-16 should support </w:t>
      </w:r>
      <w:r w:rsidR="009718DD" w:rsidRPr="007D3917">
        <w:rPr>
          <w:rFonts w:asciiTheme="minorHAnsi" w:eastAsia="SimSun" w:hAnsiTheme="minorHAnsi"/>
          <w:b/>
          <w:sz w:val="22"/>
          <w:szCs w:val="20"/>
        </w:rPr>
        <w:t>route switching based on intra-frequency multi-connectivity</w:t>
      </w:r>
      <w:r w:rsidR="00FD176A">
        <w:rPr>
          <w:rFonts w:asciiTheme="minorHAnsi" w:eastAsia="SimSun" w:hAnsiTheme="minorHAnsi"/>
          <w:b/>
          <w:sz w:val="22"/>
          <w:szCs w:val="20"/>
        </w:rPr>
        <w:t xml:space="preserve">, leveraging </w:t>
      </w:r>
      <w:r w:rsidR="009718DD">
        <w:rPr>
          <w:rFonts w:asciiTheme="minorHAnsi" w:eastAsia="SimSun" w:hAnsiTheme="minorHAnsi"/>
          <w:b/>
          <w:sz w:val="22"/>
          <w:szCs w:val="20"/>
        </w:rPr>
        <w:t>existing NR solutions</w:t>
      </w:r>
      <w:r w:rsidR="009718DD" w:rsidRPr="007D3917">
        <w:rPr>
          <w:rFonts w:asciiTheme="minorHAnsi" w:eastAsia="SimSun" w:hAnsiTheme="minorHAnsi"/>
          <w:b/>
          <w:sz w:val="22"/>
          <w:szCs w:val="20"/>
        </w:rPr>
        <w:t xml:space="preserve"> of fast centralized retransmission of pending PDCP PDUs</w:t>
      </w:r>
      <w:r>
        <w:rPr>
          <w:rFonts w:asciiTheme="minorHAnsi" w:eastAsia="SimSun" w:hAnsiTheme="minorHAnsi"/>
          <w:b/>
          <w:sz w:val="22"/>
          <w:szCs w:val="20"/>
        </w:rPr>
        <w:t xml:space="preserve"> as well as NR-NR DC</w:t>
      </w:r>
      <w:r w:rsidR="009718DD" w:rsidRPr="00B63945">
        <w:rPr>
          <w:rFonts w:asciiTheme="minorHAnsi" w:eastAsia="SimSun" w:hAnsiTheme="minorHAnsi"/>
          <w:b/>
          <w:sz w:val="22"/>
          <w:szCs w:val="20"/>
        </w:rPr>
        <w:t>.</w:t>
      </w:r>
    </w:p>
    <w:p w:rsidR="00FD176A" w:rsidRDefault="00FD176A" w:rsidP="009718DD">
      <w:pPr>
        <w:pStyle w:val="paragraph"/>
        <w:spacing w:before="0" w:beforeAutospacing="0" w:after="0" w:afterAutospacing="0"/>
        <w:textAlignment w:val="baseline"/>
        <w:rPr>
          <w:rFonts w:asciiTheme="minorHAnsi" w:eastAsia="SimSun" w:hAnsiTheme="minorHAnsi"/>
          <w:b/>
          <w:sz w:val="22"/>
          <w:szCs w:val="20"/>
        </w:rPr>
      </w:pPr>
    </w:p>
    <w:p w:rsidR="00C66761" w:rsidRDefault="00FB217B" w:rsidP="00C66761">
      <w:pPr>
        <w:pStyle w:val="Heading1"/>
      </w:pPr>
      <w:r>
        <w:t>TDM/FDM/SDM</w:t>
      </w:r>
      <w:r w:rsidR="00C66761">
        <w:t xml:space="preserve"> Access and Backhaul Multiplexing</w:t>
      </w:r>
    </w:p>
    <w:p w:rsidR="00FD176A" w:rsidRDefault="00C66761" w:rsidP="00FD176A">
      <w:pPr>
        <w:pStyle w:val="BodyText"/>
        <w:rPr>
          <w:rFonts w:asciiTheme="minorHAnsi" w:eastAsia="SimSun" w:hAnsiTheme="minorHAnsi"/>
          <w:sz w:val="22"/>
        </w:rPr>
      </w:pPr>
      <w:r w:rsidRPr="00FD176A">
        <w:rPr>
          <w:rFonts w:asciiTheme="minorHAnsi" w:eastAsia="SimSun" w:hAnsiTheme="minorHAnsi"/>
          <w:sz w:val="22"/>
        </w:rPr>
        <w:t xml:space="preserve">A key advantage of IAB is that </w:t>
      </w:r>
      <w:proofErr w:type="gramStart"/>
      <w:r w:rsidRPr="00FD176A">
        <w:rPr>
          <w:rFonts w:asciiTheme="minorHAnsi" w:eastAsia="SimSun" w:hAnsiTheme="minorHAnsi"/>
          <w:sz w:val="22"/>
        </w:rPr>
        <w:t>backhaul</w:t>
      </w:r>
      <w:proofErr w:type="gramEnd"/>
      <w:r w:rsidRPr="00FD176A">
        <w:rPr>
          <w:rFonts w:asciiTheme="minorHAnsi" w:eastAsia="SimSun" w:hAnsiTheme="minorHAnsi"/>
          <w:sz w:val="22"/>
        </w:rPr>
        <w:t xml:space="preserve"> and access are integrated and multiplexed in the scheduler, allowing very dynamic resource allocation between the backhaul and access links (in both DL and UL directions). Even though the IAB relay node consists of two logical nodes each with its own protocol stack, the physical transceiver is shared between them. In other </w:t>
      </w:r>
      <w:proofErr w:type="gramStart"/>
      <w:r w:rsidRPr="00FD176A">
        <w:rPr>
          <w:rFonts w:asciiTheme="minorHAnsi" w:eastAsia="SimSun" w:hAnsiTheme="minorHAnsi"/>
          <w:sz w:val="22"/>
        </w:rPr>
        <w:t>words</w:t>
      </w:r>
      <w:proofErr w:type="gramEnd"/>
      <w:r w:rsidRPr="00FD176A">
        <w:rPr>
          <w:rFonts w:asciiTheme="minorHAnsi" w:eastAsia="SimSun" w:hAnsiTheme="minorHAnsi"/>
          <w:sz w:val="22"/>
        </w:rPr>
        <w:t xml:space="preserve"> the PHY of the MT and the PHY of the DU run on the same transceiver systems. </w:t>
      </w:r>
    </w:p>
    <w:p w:rsidR="00C66761" w:rsidRPr="00FD176A" w:rsidRDefault="00C66761" w:rsidP="00FD176A">
      <w:pPr>
        <w:pStyle w:val="BodyText"/>
        <w:rPr>
          <w:rFonts w:asciiTheme="minorHAnsi" w:eastAsia="SimSun" w:hAnsiTheme="minorHAnsi"/>
          <w:sz w:val="22"/>
        </w:rPr>
      </w:pPr>
      <w:r w:rsidRPr="00FD176A">
        <w:rPr>
          <w:rFonts w:asciiTheme="minorHAnsi" w:eastAsia="SimSun" w:hAnsiTheme="minorHAnsi"/>
          <w:sz w:val="22"/>
        </w:rPr>
        <w:t xml:space="preserve">The backhaul link and the access link can therefore be multiplexed in the following manner: </w:t>
      </w:r>
    </w:p>
    <w:p w:rsidR="00C66761" w:rsidRPr="00FD176A" w:rsidRDefault="00C66761" w:rsidP="00FD176A">
      <w:pPr>
        <w:pStyle w:val="BodyText"/>
        <w:numPr>
          <w:ilvl w:val="0"/>
          <w:numId w:val="23"/>
        </w:numPr>
        <w:rPr>
          <w:rFonts w:asciiTheme="minorHAnsi" w:eastAsia="SimSun" w:hAnsiTheme="minorHAnsi"/>
          <w:sz w:val="22"/>
        </w:rPr>
      </w:pPr>
      <w:r w:rsidRPr="00FD176A">
        <w:rPr>
          <w:rFonts w:asciiTheme="minorHAnsi" w:eastAsia="SimSun" w:hAnsiTheme="minorHAnsi"/>
          <w:sz w:val="22"/>
        </w:rPr>
        <w:t xml:space="preserve">Time Division Multiplexing: The access link and the backhaul link are time multiplexed with each other. This implies that IAB-MT PHY and IAB-DU PHY are not active simultaneously. </w:t>
      </w:r>
    </w:p>
    <w:p w:rsidR="00C66761" w:rsidRPr="00FD176A" w:rsidRDefault="00C66761" w:rsidP="00FD176A">
      <w:pPr>
        <w:pStyle w:val="BodyText"/>
        <w:numPr>
          <w:ilvl w:val="0"/>
          <w:numId w:val="23"/>
        </w:numPr>
        <w:rPr>
          <w:rFonts w:asciiTheme="minorHAnsi" w:eastAsia="SimSun" w:hAnsiTheme="minorHAnsi"/>
          <w:sz w:val="22"/>
        </w:rPr>
      </w:pPr>
      <w:r w:rsidRPr="00FD176A">
        <w:rPr>
          <w:rFonts w:asciiTheme="minorHAnsi" w:eastAsia="SimSun" w:hAnsiTheme="minorHAnsi"/>
          <w:sz w:val="22"/>
        </w:rPr>
        <w:t xml:space="preserve">Frequency Division Multiplexing: The access link and the backhaul link are active at the same time but on different frequency resources, e.g. on separate CC or on separate PRB on the same CC. </w:t>
      </w:r>
    </w:p>
    <w:p w:rsidR="00C66761" w:rsidRPr="00FD176A" w:rsidRDefault="00C66761" w:rsidP="00FD176A">
      <w:pPr>
        <w:pStyle w:val="BodyText"/>
        <w:numPr>
          <w:ilvl w:val="0"/>
          <w:numId w:val="23"/>
        </w:numPr>
        <w:rPr>
          <w:rFonts w:asciiTheme="minorHAnsi" w:eastAsia="SimSun" w:hAnsiTheme="minorHAnsi"/>
          <w:sz w:val="22"/>
        </w:rPr>
      </w:pPr>
      <w:r w:rsidRPr="00FD176A">
        <w:rPr>
          <w:rFonts w:asciiTheme="minorHAnsi" w:eastAsia="SimSun" w:hAnsiTheme="minorHAnsi"/>
          <w:sz w:val="22"/>
        </w:rPr>
        <w:t xml:space="preserve">Spatial Multiplexing: The access link and the backhaul link are active at the same time on the same frequency resources. This case further be divided in to the two following cases: </w:t>
      </w:r>
    </w:p>
    <w:p w:rsidR="00C66761" w:rsidRPr="00FD176A" w:rsidRDefault="00C66761" w:rsidP="00FD176A">
      <w:pPr>
        <w:pStyle w:val="BodyText"/>
        <w:numPr>
          <w:ilvl w:val="1"/>
          <w:numId w:val="23"/>
        </w:numPr>
        <w:rPr>
          <w:rFonts w:asciiTheme="minorHAnsi" w:eastAsia="SimSun" w:hAnsiTheme="minorHAnsi"/>
          <w:sz w:val="22"/>
        </w:rPr>
      </w:pPr>
      <w:r w:rsidRPr="00FD176A">
        <w:rPr>
          <w:rFonts w:asciiTheme="minorHAnsi" w:eastAsia="SimSun" w:hAnsiTheme="minorHAnsi"/>
          <w:sz w:val="22"/>
        </w:rPr>
        <w:t>Intra Panel SDM: The access and backhaul use the same panel but different spatial layers</w:t>
      </w:r>
    </w:p>
    <w:p w:rsidR="00C66761" w:rsidRPr="00FD176A" w:rsidRDefault="00C66761" w:rsidP="00FD176A">
      <w:pPr>
        <w:pStyle w:val="BodyText"/>
        <w:numPr>
          <w:ilvl w:val="1"/>
          <w:numId w:val="23"/>
        </w:numPr>
        <w:rPr>
          <w:rFonts w:asciiTheme="minorHAnsi" w:eastAsia="SimSun" w:hAnsiTheme="minorHAnsi"/>
          <w:sz w:val="22"/>
        </w:rPr>
      </w:pPr>
      <w:r w:rsidRPr="00FD176A">
        <w:rPr>
          <w:rFonts w:asciiTheme="minorHAnsi" w:eastAsia="SimSun" w:hAnsiTheme="minorHAnsi"/>
          <w:sz w:val="22"/>
        </w:rPr>
        <w:t>Inter Panel SDM: The access and backhaul use different panels</w:t>
      </w:r>
    </w:p>
    <w:p w:rsidR="00FD176A" w:rsidRDefault="00FD176A" w:rsidP="00FD176A">
      <w:pPr>
        <w:pStyle w:val="BodyText"/>
        <w:rPr>
          <w:rFonts w:asciiTheme="minorHAnsi" w:eastAsia="SimSun" w:hAnsiTheme="minorHAnsi"/>
          <w:sz w:val="22"/>
        </w:rPr>
      </w:pPr>
    </w:p>
    <w:p w:rsidR="00C66761" w:rsidRPr="00FD176A" w:rsidRDefault="00C66761" w:rsidP="00FD176A">
      <w:pPr>
        <w:pStyle w:val="BodyText"/>
        <w:rPr>
          <w:rFonts w:asciiTheme="minorHAnsi" w:eastAsia="SimSun" w:hAnsiTheme="minorHAnsi"/>
          <w:sz w:val="22"/>
        </w:rPr>
      </w:pPr>
      <w:r w:rsidRPr="00FD176A">
        <w:rPr>
          <w:rFonts w:asciiTheme="minorHAnsi" w:eastAsia="SimSun" w:hAnsiTheme="minorHAnsi"/>
          <w:sz w:val="22"/>
        </w:rPr>
        <w:t xml:space="preserve">Due to the half-duplex constraint at each relay node it can only transmit or receive at any given instance but not both. The MT PHY is in receive mode during a backhaul DL allocation and in transmit mode during a backhaul UL allocation. </w:t>
      </w:r>
      <w:proofErr w:type="gramStart"/>
      <w:r w:rsidRPr="00FD176A">
        <w:rPr>
          <w:rFonts w:asciiTheme="minorHAnsi" w:eastAsia="SimSun" w:hAnsiTheme="minorHAnsi"/>
          <w:sz w:val="22"/>
        </w:rPr>
        <w:t>Similarly</w:t>
      </w:r>
      <w:proofErr w:type="gramEnd"/>
      <w:r w:rsidRPr="00FD176A">
        <w:rPr>
          <w:rFonts w:asciiTheme="minorHAnsi" w:eastAsia="SimSun" w:hAnsiTheme="minorHAnsi"/>
          <w:sz w:val="22"/>
        </w:rPr>
        <w:t xml:space="preserve"> the DU PHY is in receive mode during an UL allocation and in transmit mode during a DL allocation as shown in Figure </w:t>
      </w:r>
      <w:r w:rsidR="00FD176A">
        <w:rPr>
          <w:rFonts w:asciiTheme="minorHAnsi" w:eastAsia="SimSun" w:hAnsiTheme="minorHAnsi"/>
          <w:sz w:val="22"/>
        </w:rPr>
        <w:t>7</w:t>
      </w:r>
      <w:r w:rsidR="00DB7F80" w:rsidRPr="00FD176A">
        <w:rPr>
          <w:rFonts w:asciiTheme="minorHAnsi" w:eastAsia="SimSun" w:hAnsiTheme="minorHAnsi"/>
          <w:sz w:val="22"/>
        </w:rPr>
        <w:t>.</w:t>
      </w:r>
      <w:r w:rsidRPr="00FD176A">
        <w:rPr>
          <w:rFonts w:asciiTheme="minorHAnsi" w:eastAsia="SimSun" w:hAnsiTheme="minorHAnsi"/>
          <w:sz w:val="22"/>
        </w:rPr>
        <w:t xml:space="preserve"> </w:t>
      </w:r>
    </w:p>
    <w:p w:rsidR="00C66761" w:rsidRDefault="00C66761" w:rsidP="00C66761">
      <w:pPr>
        <w:pStyle w:val="maintext"/>
        <w:ind w:firstLineChars="0" w:firstLine="0"/>
        <w:rPr>
          <w:rFonts w:ascii="Calibri" w:hAnsi="Calibri"/>
        </w:rPr>
      </w:pPr>
    </w:p>
    <w:p w:rsidR="00C66761" w:rsidRDefault="00C66761" w:rsidP="00C66761">
      <w:pPr>
        <w:pStyle w:val="maintext"/>
        <w:keepNext/>
        <w:ind w:firstLineChars="0" w:firstLine="0"/>
        <w:jc w:val="center"/>
      </w:pPr>
      <w:r>
        <w:rPr>
          <w:noProof/>
          <w:color w:val="1F497D"/>
          <w:lang w:val="en-US" w:eastAsia="en-US"/>
        </w:rPr>
        <w:lastRenderedPageBreak/>
        <w:drawing>
          <wp:inline distT="0" distB="0" distL="0" distR="0" wp14:anchorId="32A74C18" wp14:editId="571EFEBF">
            <wp:extent cx="3584818" cy="2409825"/>
            <wp:effectExtent l="0" t="0" r="0" b="0"/>
            <wp:docPr id="6" name="Picture 6" descr="cid:image005.png@01D3944D.5F473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5.png@01D3944D.5F47309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593840" cy="2415890"/>
                    </a:xfrm>
                    <a:prstGeom prst="rect">
                      <a:avLst/>
                    </a:prstGeom>
                    <a:noFill/>
                    <a:ln>
                      <a:noFill/>
                    </a:ln>
                  </pic:spPr>
                </pic:pic>
              </a:graphicData>
            </a:graphic>
          </wp:inline>
        </w:drawing>
      </w:r>
    </w:p>
    <w:p w:rsidR="00C66761" w:rsidRDefault="00C66761" w:rsidP="00C66761">
      <w:pPr>
        <w:pStyle w:val="maintext"/>
        <w:ind w:firstLineChars="0" w:firstLine="0"/>
        <w:jc w:val="center"/>
        <w:rPr>
          <w:rFonts w:ascii="Calibri" w:hAnsi="Calibri"/>
          <w:b/>
        </w:rPr>
      </w:pPr>
    </w:p>
    <w:p w:rsidR="00C66761" w:rsidRPr="006C49B6" w:rsidRDefault="00C66761" w:rsidP="00C66761">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 xml:space="preserve">Figure </w:t>
      </w:r>
      <w:r w:rsidR="00FD176A">
        <w:rPr>
          <w:rFonts w:ascii="Calibri" w:hAnsi="Calibri"/>
          <w:b/>
          <w:bCs/>
          <w:sz w:val="22"/>
          <w:lang w:val="en-GB" w:eastAsia="zh-CN"/>
        </w:rPr>
        <w:t>7</w:t>
      </w:r>
      <w:r w:rsidRPr="006C49B6">
        <w:rPr>
          <w:rFonts w:ascii="Calibri" w:hAnsi="Calibri"/>
          <w:b/>
          <w:bCs/>
          <w:sz w:val="22"/>
          <w:lang w:val="en-GB" w:eastAsia="zh-CN"/>
        </w:rPr>
        <w:t xml:space="preserve">: </w:t>
      </w:r>
      <w:r>
        <w:rPr>
          <w:rFonts w:ascii="Calibri" w:hAnsi="Calibri"/>
          <w:b/>
          <w:bCs/>
          <w:sz w:val="22"/>
          <w:lang w:val="en-GB" w:eastAsia="zh-CN"/>
        </w:rPr>
        <w:t>H</w:t>
      </w:r>
      <w:r w:rsidRPr="002C594E">
        <w:rPr>
          <w:rFonts w:ascii="Calibri" w:hAnsi="Calibri"/>
          <w:b/>
          <w:bCs/>
          <w:sz w:val="22"/>
          <w:lang w:val="en-GB" w:eastAsia="zh-CN"/>
        </w:rPr>
        <w:t>alf-duplex constraint at the relay</w:t>
      </w:r>
    </w:p>
    <w:p w:rsidR="00C66761" w:rsidRPr="00FD176A" w:rsidRDefault="00C66761" w:rsidP="00C66761">
      <w:pPr>
        <w:pStyle w:val="maintext"/>
        <w:ind w:firstLineChars="0" w:firstLine="0"/>
        <w:rPr>
          <w:rFonts w:asciiTheme="minorHAnsi" w:eastAsia="SimSun" w:hAnsiTheme="minorHAnsi" w:cs="Times New Roman"/>
          <w:sz w:val="22"/>
          <w:lang w:val="en-US" w:eastAsia="en-US"/>
        </w:rPr>
      </w:pPr>
      <w:r w:rsidRPr="00FD176A">
        <w:rPr>
          <w:rFonts w:asciiTheme="minorHAnsi" w:eastAsia="SimSun" w:hAnsiTheme="minorHAnsi" w:cs="Times New Roman"/>
          <w:sz w:val="22"/>
          <w:lang w:val="en-US" w:eastAsia="en-US"/>
        </w:rPr>
        <w:t xml:space="preserve">In Figure </w:t>
      </w:r>
      <w:r w:rsidR="00FD176A">
        <w:rPr>
          <w:rFonts w:asciiTheme="minorHAnsi" w:eastAsia="SimSun" w:hAnsiTheme="minorHAnsi" w:cs="Times New Roman"/>
          <w:sz w:val="22"/>
          <w:lang w:val="en-US" w:eastAsia="en-US"/>
        </w:rPr>
        <w:t>8</w:t>
      </w:r>
      <w:r w:rsidRPr="00FD176A">
        <w:rPr>
          <w:rFonts w:asciiTheme="minorHAnsi" w:eastAsia="SimSun" w:hAnsiTheme="minorHAnsi" w:cs="Times New Roman"/>
          <w:sz w:val="22"/>
          <w:lang w:val="en-US" w:eastAsia="en-US"/>
        </w:rPr>
        <w:t xml:space="preserve">, TDM partitioning is shown with DL/UL switching gaps between both the backhaul directions as well as for the access links while a guard band is introduced between backhaul subframes in the case of FDM. </w:t>
      </w:r>
    </w:p>
    <w:p w:rsidR="00C66761" w:rsidRDefault="00C66761" w:rsidP="00C66761">
      <w:pPr>
        <w:pStyle w:val="maintext"/>
        <w:ind w:firstLineChars="0" w:firstLine="0"/>
        <w:rPr>
          <w:rFonts w:ascii="Calibri" w:hAnsi="Calibri"/>
        </w:rPr>
      </w:pPr>
    </w:p>
    <w:p w:rsidR="00C66761" w:rsidRDefault="00C66761" w:rsidP="00C66761">
      <w:pPr>
        <w:pStyle w:val="maintext"/>
        <w:ind w:firstLineChars="90" w:firstLine="180"/>
        <w:jc w:val="center"/>
      </w:pPr>
      <w:r w:rsidRPr="00C724F1">
        <w:rPr>
          <w:noProof/>
          <w:lang w:val="en-US" w:eastAsia="en-US"/>
        </w:rPr>
        <w:drawing>
          <wp:inline distT="0" distB="0" distL="0" distR="0" wp14:anchorId="5B1FD0E8" wp14:editId="6E9E4738">
            <wp:extent cx="4371975" cy="944259"/>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30273" cy="956850"/>
                    </a:xfrm>
                    <a:prstGeom prst="rect">
                      <a:avLst/>
                    </a:prstGeom>
                    <a:noFill/>
                    <a:ln>
                      <a:noFill/>
                    </a:ln>
                  </pic:spPr>
                </pic:pic>
              </a:graphicData>
            </a:graphic>
          </wp:inline>
        </w:drawing>
      </w:r>
    </w:p>
    <w:p w:rsidR="00C66761" w:rsidRPr="00077712" w:rsidRDefault="00C66761" w:rsidP="00C66761">
      <w:pPr>
        <w:pStyle w:val="Caption"/>
        <w:ind w:left="720"/>
        <w:rPr>
          <w:rFonts w:ascii="Calibri" w:hAnsi="Calibri"/>
        </w:rPr>
      </w:pPr>
      <w:bookmarkStart w:id="3" w:name="_Ref450668998"/>
      <w:r w:rsidRPr="00077712">
        <w:rPr>
          <w:rFonts w:ascii="Calibri" w:hAnsi="Calibri"/>
        </w:rPr>
        <w:t xml:space="preserve">Figure </w:t>
      </w:r>
      <w:bookmarkEnd w:id="3"/>
      <w:r w:rsidR="00FD176A">
        <w:rPr>
          <w:rFonts w:ascii="Calibri" w:hAnsi="Calibri"/>
        </w:rPr>
        <w:t>8</w:t>
      </w:r>
      <w:r w:rsidRPr="00077712">
        <w:rPr>
          <w:rFonts w:ascii="Calibri" w:hAnsi="Calibri"/>
        </w:rPr>
        <w:t>: TDM/FDM of access and backhaul links</w:t>
      </w:r>
    </w:p>
    <w:p w:rsidR="00C66761" w:rsidRPr="00FD176A" w:rsidRDefault="00C66761" w:rsidP="00C66761">
      <w:pPr>
        <w:pStyle w:val="maintext"/>
        <w:ind w:firstLineChars="0" w:firstLine="0"/>
        <w:rPr>
          <w:rFonts w:asciiTheme="minorHAnsi" w:eastAsia="SimSun" w:hAnsiTheme="minorHAnsi" w:cs="Times New Roman"/>
          <w:sz w:val="22"/>
          <w:lang w:val="en-US" w:eastAsia="en-US"/>
        </w:rPr>
      </w:pPr>
      <w:r w:rsidRPr="00FD176A">
        <w:rPr>
          <w:rFonts w:asciiTheme="minorHAnsi" w:eastAsia="SimSun" w:hAnsiTheme="minorHAnsi" w:cs="Times New Roman"/>
          <w:sz w:val="22"/>
          <w:lang w:val="en-US" w:eastAsia="en-US"/>
        </w:rPr>
        <w:t xml:space="preserve">In addition, the multiplexing of the access and backhaul links should be backwards compatible to ensure Rel.15 UEs can be supported by IAB. Specifically, the latency/overhead introduced by orthogonal partitioning of resources in either time or frequency should be carefully considered, especially for mmWave frequencies which are typically TDD.  </w:t>
      </w:r>
    </w:p>
    <w:p w:rsidR="00C66761" w:rsidRPr="00FD176A" w:rsidRDefault="00C66761" w:rsidP="00C66761">
      <w:pPr>
        <w:pStyle w:val="maintext"/>
        <w:ind w:firstLineChars="0" w:firstLine="0"/>
        <w:rPr>
          <w:rFonts w:asciiTheme="minorHAnsi" w:eastAsia="SimSun" w:hAnsiTheme="minorHAnsi" w:cs="Times New Roman"/>
          <w:sz w:val="22"/>
          <w:lang w:val="en-US" w:eastAsia="en-US"/>
        </w:rPr>
      </w:pPr>
    </w:p>
    <w:p w:rsidR="00C66761" w:rsidRPr="00FD176A" w:rsidRDefault="00C66761" w:rsidP="00C66761">
      <w:pPr>
        <w:pStyle w:val="maintext"/>
        <w:ind w:firstLineChars="0" w:firstLine="0"/>
        <w:rPr>
          <w:rFonts w:asciiTheme="minorHAnsi" w:eastAsia="SimSun" w:hAnsiTheme="minorHAnsi" w:cs="Times New Roman"/>
          <w:sz w:val="22"/>
          <w:lang w:val="en-US" w:eastAsia="en-US"/>
        </w:rPr>
      </w:pPr>
      <w:r w:rsidRPr="00FD176A">
        <w:rPr>
          <w:rFonts w:asciiTheme="minorHAnsi" w:eastAsia="SimSun" w:hAnsiTheme="minorHAnsi" w:cs="Times New Roman"/>
          <w:sz w:val="22"/>
          <w:lang w:val="en-US" w:eastAsia="en-US"/>
        </w:rPr>
        <w:t xml:space="preserve">Considering the multi-hop nature of the IAB network, more efficient usage of the DL/UL resources than strict TDM between parent and child links can be used even when </w:t>
      </w:r>
      <w:proofErr w:type="gramStart"/>
      <w:r w:rsidRPr="00FD176A">
        <w:rPr>
          <w:rFonts w:asciiTheme="minorHAnsi" w:eastAsia="SimSun" w:hAnsiTheme="minorHAnsi" w:cs="Times New Roman"/>
          <w:sz w:val="22"/>
          <w:lang w:val="en-US" w:eastAsia="en-US"/>
        </w:rPr>
        <w:t>taking into account</w:t>
      </w:r>
      <w:proofErr w:type="gramEnd"/>
      <w:r w:rsidRPr="00FD176A">
        <w:rPr>
          <w:rFonts w:asciiTheme="minorHAnsi" w:eastAsia="SimSun" w:hAnsiTheme="minorHAnsi" w:cs="Times New Roman"/>
          <w:sz w:val="22"/>
          <w:lang w:val="en-US" w:eastAsia="en-US"/>
        </w:rPr>
        <w:t xml:space="preserve"> the half-duplex constraint. When the donor gNB (hop 0) sends DL transmissions to the relay node of hop order 1, said rely node is receiving, hence it can schedule access UEs whose gNB it is in the UL. Alternatively, a second order relay node can transmit to the first order relay node when the latter is receiving from the donor node (hop 0). At the network side, the frame structure, can be coordinated </w:t>
      </w:r>
      <w:r w:rsidR="00DB7F80" w:rsidRPr="00FD176A">
        <w:rPr>
          <w:rFonts w:asciiTheme="minorHAnsi" w:eastAsia="SimSun" w:hAnsiTheme="minorHAnsi" w:cs="Times New Roman"/>
          <w:sz w:val="22"/>
          <w:lang w:val="en-US" w:eastAsia="en-US"/>
        </w:rPr>
        <w:t xml:space="preserve">across </w:t>
      </w:r>
      <w:r w:rsidRPr="00FD176A">
        <w:rPr>
          <w:rFonts w:asciiTheme="minorHAnsi" w:eastAsia="SimSun" w:hAnsiTheme="minorHAnsi" w:cs="Times New Roman"/>
          <w:sz w:val="22"/>
          <w:lang w:val="en-US" w:eastAsia="en-US"/>
        </w:rPr>
        <w:t xml:space="preserve">multiple hops </w:t>
      </w:r>
      <w:r w:rsidR="00DB7F80" w:rsidRPr="00FD176A">
        <w:rPr>
          <w:rFonts w:asciiTheme="minorHAnsi" w:eastAsia="SimSun" w:hAnsiTheme="minorHAnsi" w:cs="Times New Roman"/>
          <w:sz w:val="22"/>
          <w:lang w:val="en-US" w:eastAsia="en-US"/>
        </w:rPr>
        <w:t>in a</w:t>
      </w:r>
      <w:r w:rsidRPr="00FD176A">
        <w:rPr>
          <w:rFonts w:asciiTheme="minorHAnsi" w:eastAsia="SimSun" w:hAnsiTheme="minorHAnsi" w:cs="Times New Roman"/>
          <w:sz w:val="22"/>
          <w:lang w:val="en-US" w:eastAsia="en-US"/>
        </w:rPr>
        <w:t xml:space="preserve"> staggered </w:t>
      </w:r>
      <w:r w:rsidR="00DB7F80" w:rsidRPr="00FD176A">
        <w:rPr>
          <w:rFonts w:asciiTheme="minorHAnsi" w:eastAsia="SimSun" w:hAnsiTheme="minorHAnsi" w:cs="Times New Roman"/>
          <w:sz w:val="22"/>
          <w:lang w:val="en-US" w:eastAsia="en-US"/>
        </w:rPr>
        <w:t xml:space="preserve">manner </w:t>
      </w:r>
      <w:r w:rsidRPr="00FD176A">
        <w:rPr>
          <w:rFonts w:asciiTheme="minorHAnsi" w:eastAsia="SimSun" w:hAnsiTheme="minorHAnsi" w:cs="Times New Roman"/>
          <w:sz w:val="22"/>
          <w:lang w:val="en-US" w:eastAsia="en-US"/>
        </w:rPr>
        <w:t xml:space="preserve">as shown in Figure </w:t>
      </w:r>
      <w:r w:rsidR="00FD176A">
        <w:rPr>
          <w:rFonts w:asciiTheme="minorHAnsi" w:eastAsia="SimSun" w:hAnsiTheme="minorHAnsi" w:cs="Times New Roman"/>
          <w:sz w:val="22"/>
          <w:lang w:val="en-US" w:eastAsia="en-US"/>
        </w:rPr>
        <w:t>9</w:t>
      </w:r>
      <w:r w:rsidRPr="00FD176A">
        <w:rPr>
          <w:rFonts w:asciiTheme="minorHAnsi" w:eastAsia="SimSun" w:hAnsiTheme="minorHAnsi" w:cs="Times New Roman"/>
          <w:sz w:val="22"/>
          <w:lang w:val="en-US" w:eastAsia="en-US"/>
        </w:rPr>
        <w:t>.</w:t>
      </w:r>
    </w:p>
    <w:p w:rsidR="00C66761" w:rsidRPr="00222811" w:rsidRDefault="00C66761" w:rsidP="00C66761">
      <w:pPr>
        <w:pStyle w:val="maintext"/>
        <w:ind w:firstLineChars="0" w:firstLine="0"/>
        <w:rPr>
          <w:rFonts w:ascii="Calibri" w:hAnsi="Calibri"/>
        </w:rPr>
      </w:pPr>
    </w:p>
    <w:p w:rsidR="00C66761" w:rsidRDefault="00C66761" w:rsidP="00C66761">
      <w:pPr>
        <w:pStyle w:val="maintext"/>
        <w:ind w:firstLineChars="0" w:firstLine="0"/>
        <w:jc w:val="center"/>
        <w:rPr>
          <w:color w:val="1F497D"/>
        </w:rPr>
      </w:pPr>
      <w:r>
        <w:rPr>
          <w:noProof/>
          <w:color w:val="1F497D"/>
          <w:lang w:val="en-US" w:eastAsia="en-US"/>
        </w:rPr>
        <w:lastRenderedPageBreak/>
        <w:drawing>
          <wp:inline distT="0" distB="0" distL="0" distR="0" wp14:anchorId="491F219C" wp14:editId="4A5937A9">
            <wp:extent cx="4362450" cy="2387600"/>
            <wp:effectExtent l="0" t="0" r="0" b="0"/>
            <wp:docPr id="8" name="Picture 8" descr="cid:image002.png@01D39440.04523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D39440.045232F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362450" cy="2387600"/>
                    </a:xfrm>
                    <a:prstGeom prst="rect">
                      <a:avLst/>
                    </a:prstGeom>
                    <a:noFill/>
                    <a:ln>
                      <a:noFill/>
                    </a:ln>
                  </pic:spPr>
                </pic:pic>
              </a:graphicData>
            </a:graphic>
          </wp:inline>
        </w:drawing>
      </w:r>
    </w:p>
    <w:p w:rsidR="00C66761" w:rsidRDefault="00C66761" w:rsidP="00C66761">
      <w:pPr>
        <w:pStyle w:val="Caption"/>
        <w:ind w:left="720"/>
        <w:rPr>
          <w:rFonts w:ascii="Calibri" w:hAnsi="Calibri"/>
        </w:rPr>
      </w:pPr>
      <w:r w:rsidRPr="00077712">
        <w:rPr>
          <w:rFonts w:ascii="Calibri" w:hAnsi="Calibri"/>
        </w:rPr>
        <w:t xml:space="preserve">Figure </w:t>
      </w:r>
      <w:r w:rsidR="00FD176A">
        <w:rPr>
          <w:rFonts w:ascii="Calibri" w:hAnsi="Calibri"/>
        </w:rPr>
        <w:t>9</w:t>
      </w:r>
      <w:r w:rsidRPr="00077712">
        <w:rPr>
          <w:rFonts w:ascii="Calibri" w:hAnsi="Calibri"/>
        </w:rPr>
        <w:t xml:space="preserve">: </w:t>
      </w:r>
      <w:r>
        <w:rPr>
          <w:rFonts w:ascii="Calibri" w:hAnsi="Calibri"/>
        </w:rPr>
        <w:t>IAB frame structure</w:t>
      </w:r>
      <w:r w:rsidR="00FD176A">
        <w:rPr>
          <w:rFonts w:ascii="Calibri" w:hAnsi="Calibri"/>
        </w:rPr>
        <w:t xml:space="preserve"> under SDM operation</w:t>
      </w:r>
    </w:p>
    <w:p w:rsidR="00DB7F80" w:rsidRPr="006E5343" w:rsidRDefault="00DB7F80" w:rsidP="00DB7F80">
      <w:pPr>
        <w:rPr>
          <w:rFonts w:asciiTheme="minorHAnsi" w:eastAsia="SimSun" w:hAnsiTheme="minorHAnsi"/>
          <w:sz w:val="22"/>
        </w:rPr>
      </w:pPr>
      <w:r w:rsidRPr="006E5343">
        <w:rPr>
          <w:rFonts w:asciiTheme="minorHAnsi" w:eastAsia="SimSun" w:hAnsiTheme="minorHAnsi"/>
          <w:sz w:val="22"/>
        </w:rPr>
        <w:t xml:space="preserve">While the IAB TR captures that TDM resource allocation is </w:t>
      </w:r>
      <w:r w:rsidR="00FD176A" w:rsidRPr="006E5343">
        <w:rPr>
          <w:rFonts w:asciiTheme="minorHAnsi" w:eastAsia="SimSun" w:hAnsiTheme="minorHAnsi"/>
          <w:sz w:val="22"/>
        </w:rPr>
        <w:t xml:space="preserve">recommended to be </w:t>
      </w:r>
      <w:r w:rsidRPr="006E5343">
        <w:rPr>
          <w:rFonts w:asciiTheme="minorHAnsi" w:eastAsia="SimSun" w:hAnsiTheme="minorHAnsi"/>
          <w:sz w:val="22"/>
        </w:rPr>
        <w:t xml:space="preserve">the </w:t>
      </w:r>
      <w:proofErr w:type="gramStart"/>
      <w:r w:rsidRPr="006E5343">
        <w:rPr>
          <w:rFonts w:asciiTheme="minorHAnsi" w:eastAsia="SimSun" w:hAnsiTheme="minorHAnsi"/>
          <w:sz w:val="22"/>
        </w:rPr>
        <w:t>first priority</w:t>
      </w:r>
      <w:proofErr w:type="gramEnd"/>
      <w:r w:rsidRPr="006E5343">
        <w:rPr>
          <w:rFonts w:asciiTheme="minorHAnsi" w:eastAsia="SimSun" w:hAnsiTheme="minorHAnsi"/>
          <w:sz w:val="22"/>
        </w:rPr>
        <w:t xml:space="preserve"> for the IAB WI, introduction of </w:t>
      </w:r>
      <w:proofErr w:type="spellStart"/>
      <w:r w:rsidRPr="006E5343">
        <w:rPr>
          <w:rFonts w:asciiTheme="minorHAnsi" w:eastAsia="SimSun" w:hAnsiTheme="minorHAnsi"/>
          <w:sz w:val="22"/>
        </w:rPr>
        <w:t>signalling</w:t>
      </w:r>
      <w:proofErr w:type="spellEnd"/>
      <w:r w:rsidRPr="006E5343">
        <w:rPr>
          <w:rFonts w:asciiTheme="minorHAnsi" w:eastAsia="SimSun" w:hAnsiTheme="minorHAnsi"/>
          <w:sz w:val="22"/>
        </w:rPr>
        <w:t xml:space="preserve"> to support FDM/SDM can be done in a forward compatible manner that enables IAB nodes based on Rel-16 specification to support TDM/FDM/SDM and even further optimizations (including full-duplex operation) introduced in later releases. </w:t>
      </w:r>
      <w:r w:rsidR="006E5343">
        <w:rPr>
          <w:rFonts w:asciiTheme="minorHAnsi" w:eastAsia="SimSun" w:hAnsiTheme="minorHAnsi"/>
          <w:sz w:val="22"/>
        </w:rPr>
        <w:t xml:space="preserve">This is critical as it has been shown </w:t>
      </w:r>
      <w:r w:rsidR="002447CC">
        <w:rPr>
          <w:rFonts w:asciiTheme="minorHAnsi" w:eastAsia="SimSun" w:hAnsiTheme="minorHAnsi"/>
          <w:sz w:val="22"/>
        </w:rPr>
        <w:t xml:space="preserve">in evaluation results submitted </w:t>
      </w:r>
      <w:r w:rsidR="006E5343">
        <w:rPr>
          <w:rFonts w:asciiTheme="minorHAnsi" w:eastAsia="SimSun" w:hAnsiTheme="minorHAnsi"/>
          <w:sz w:val="22"/>
        </w:rPr>
        <w:t xml:space="preserve">during the SI that SDM operation can have significant </w:t>
      </w:r>
      <w:r w:rsidR="002447CC">
        <w:rPr>
          <w:rFonts w:asciiTheme="minorHAnsi" w:eastAsia="SimSun" w:hAnsiTheme="minorHAnsi"/>
          <w:sz w:val="22"/>
        </w:rPr>
        <w:t xml:space="preserve">performance benefits in terms of increased throughput and reduced latency compared to TDM only partitioning. </w:t>
      </w:r>
    </w:p>
    <w:p w:rsidR="00C66761" w:rsidRPr="002447CC" w:rsidRDefault="00DB7F80" w:rsidP="00C66761">
      <w:pPr>
        <w:pStyle w:val="maintext"/>
        <w:ind w:firstLineChars="0" w:firstLine="0"/>
        <w:rPr>
          <w:rFonts w:asciiTheme="minorHAnsi" w:eastAsia="SimSun" w:hAnsiTheme="minorHAnsi" w:cs="Times New Roman"/>
          <w:b/>
          <w:sz w:val="22"/>
          <w:lang w:val="en-US" w:eastAsia="en-US"/>
        </w:rPr>
      </w:pPr>
      <w:r w:rsidRPr="002447CC">
        <w:rPr>
          <w:rFonts w:asciiTheme="minorHAnsi" w:eastAsia="SimSun" w:hAnsiTheme="minorHAnsi" w:cs="Times New Roman"/>
          <w:b/>
          <w:sz w:val="22"/>
          <w:lang w:val="en-US" w:eastAsia="en-US"/>
        </w:rPr>
        <w:t>Proposal</w:t>
      </w:r>
      <w:r w:rsidR="002447CC">
        <w:rPr>
          <w:rFonts w:asciiTheme="minorHAnsi" w:eastAsia="SimSun" w:hAnsiTheme="minorHAnsi" w:cs="Times New Roman"/>
          <w:b/>
          <w:sz w:val="22"/>
          <w:lang w:val="en-US" w:eastAsia="en-US"/>
        </w:rPr>
        <w:t xml:space="preserve"> 3</w:t>
      </w:r>
      <w:r w:rsidR="00C66761" w:rsidRPr="002447CC">
        <w:rPr>
          <w:rFonts w:asciiTheme="minorHAnsi" w:eastAsia="SimSun" w:hAnsiTheme="minorHAnsi" w:cs="Times New Roman"/>
          <w:b/>
          <w:sz w:val="22"/>
          <w:lang w:val="en-US" w:eastAsia="en-US"/>
        </w:rPr>
        <w:t>: In addition to TDM partitionin</w:t>
      </w:r>
      <w:r w:rsidRPr="002447CC">
        <w:rPr>
          <w:rFonts w:asciiTheme="minorHAnsi" w:eastAsia="SimSun" w:hAnsiTheme="minorHAnsi" w:cs="Times New Roman"/>
          <w:b/>
          <w:sz w:val="22"/>
          <w:lang w:val="en-US" w:eastAsia="en-US"/>
        </w:rPr>
        <w:t xml:space="preserve">g of </w:t>
      </w:r>
      <w:r w:rsidR="002447CC">
        <w:rPr>
          <w:rFonts w:asciiTheme="minorHAnsi" w:eastAsia="SimSun" w:hAnsiTheme="minorHAnsi" w:cs="Times New Roman"/>
          <w:b/>
          <w:sz w:val="22"/>
          <w:lang w:val="en-US" w:eastAsia="en-US"/>
        </w:rPr>
        <w:t>access and backhaul</w:t>
      </w:r>
      <w:r w:rsidRPr="002447CC">
        <w:rPr>
          <w:rFonts w:asciiTheme="minorHAnsi" w:eastAsia="SimSun" w:hAnsiTheme="minorHAnsi" w:cs="Times New Roman"/>
          <w:b/>
          <w:sz w:val="22"/>
          <w:lang w:val="en-US" w:eastAsia="en-US"/>
        </w:rPr>
        <w:t xml:space="preserve"> links, the resource allocation singling developed in the Rel-16</w:t>
      </w:r>
      <w:r w:rsidR="00C66761" w:rsidRPr="002447CC">
        <w:rPr>
          <w:rFonts w:asciiTheme="minorHAnsi" w:eastAsia="SimSun" w:hAnsiTheme="minorHAnsi" w:cs="Times New Roman"/>
          <w:b/>
          <w:sz w:val="22"/>
          <w:lang w:val="en-US" w:eastAsia="en-US"/>
        </w:rPr>
        <w:t xml:space="preserve"> </w:t>
      </w:r>
      <w:r w:rsidRPr="002447CC">
        <w:rPr>
          <w:rFonts w:asciiTheme="minorHAnsi" w:eastAsia="SimSun" w:hAnsiTheme="minorHAnsi" w:cs="Times New Roman"/>
          <w:b/>
          <w:sz w:val="22"/>
          <w:lang w:val="en-US" w:eastAsia="en-US"/>
        </w:rPr>
        <w:t xml:space="preserve">IAB WI </w:t>
      </w:r>
      <w:r w:rsidR="00C66761" w:rsidRPr="002447CC">
        <w:rPr>
          <w:rFonts w:asciiTheme="minorHAnsi" w:eastAsia="SimSun" w:hAnsiTheme="minorHAnsi" w:cs="Times New Roman"/>
          <w:b/>
          <w:sz w:val="22"/>
          <w:lang w:val="en-US" w:eastAsia="en-US"/>
        </w:rPr>
        <w:t xml:space="preserve">should support </w:t>
      </w:r>
      <w:r w:rsidRPr="002447CC">
        <w:rPr>
          <w:rFonts w:asciiTheme="minorHAnsi" w:eastAsia="SimSun" w:hAnsiTheme="minorHAnsi" w:cs="Times New Roman"/>
          <w:b/>
          <w:sz w:val="22"/>
          <w:lang w:val="en-US" w:eastAsia="en-US"/>
        </w:rPr>
        <w:t>FDM/SDM operation and coordination mechanisms</w:t>
      </w:r>
      <w:r w:rsidR="00C66761" w:rsidRPr="002447CC">
        <w:rPr>
          <w:rFonts w:asciiTheme="minorHAnsi" w:eastAsia="SimSun" w:hAnsiTheme="minorHAnsi" w:cs="Times New Roman"/>
          <w:b/>
          <w:sz w:val="22"/>
          <w:lang w:val="en-US" w:eastAsia="en-US"/>
        </w:rPr>
        <w:t xml:space="preserve"> which enable alignment of DL transmissions of the IAB node’s DU with UL transmission slots of the IAB node’s MT as well as alignment of DL reception slots of the IAB nodes’ MT with UL reception slots at the IAB node’s DU.</w:t>
      </w:r>
    </w:p>
    <w:p w:rsidR="009718DD" w:rsidRPr="0033513A" w:rsidRDefault="009718DD" w:rsidP="00FB2665">
      <w:pPr>
        <w:pStyle w:val="maintext"/>
        <w:ind w:firstLineChars="0" w:firstLine="0"/>
      </w:pPr>
    </w:p>
    <w:p w:rsidR="007338D6" w:rsidRPr="00172743" w:rsidRDefault="003A566A" w:rsidP="00326FF6">
      <w:pPr>
        <w:pStyle w:val="Heading1"/>
      </w:pPr>
      <w:r w:rsidRPr="00172743">
        <w:t>Conclusion</w:t>
      </w:r>
    </w:p>
    <w:p w:rsidR="00843F1C" w:rsidRPr="0005218F" w:rsidRDefault="00843F1C" w:rsidP="00172743">
      <w:pPr>
        <w:spacing w:before="0" w:after="0"/>
        <w:rPr>
          <w:lang w:val="en-GB" w:eastAsia="zh-CN"/>
        </w:rPr>
      </w:pPr>
      <w:r w:rsidRPr="0005218F">
        <w:rPr>
          <w:lang w:val="en-GB" w:eastAsia="zh-CN"/>
        </w:rPr>
        <w:t>Th</w:t>
      </w:r>
      <w:r w:rsidR="00F35911" w:rsidRPr="0005218F">
        <w:rPr>
          <w:lang w:val="en-GB" w:eastAsia="zh-CN"/>
        </w:rPr>
        <w:t>is</w:t>
      </w:r>
      <w:r w:rsidRPr="0005218F">
        <w:rPr>
          <w:lang w:val="en-GB" w:eastAsia="zh-CN"/>
        </w:rPr>
        <w:t xml:space="preserve"> contribution </w:t>
      </w:r>
      <w:r w:rsidR="002447CC">
        <w:rPr>
          <w:lang w:val="en-GB" w:eastAsia="zh-CN"/>
        </w:rPr>
        <w:t>described key features to be supported in the Rel-16</w:t>
      </w:r>
      <w:r w:rsidR="003A553B" w:rsidRPr="0005218F">
        <w:rPr>
          <w:lang w:val="en-GB" w:eastAsia="zh-CN"/>
        </w:rPr>
        <w:t xml:space="preserve"> </w:t>
      </w:r>
      <w:r w:rsidR="00C724F1" w:rsidRPr="0005218F">
        <w:rPr>
          <w:lang w:val="en-GB" w:eastAsia="zh-CN"/>
        </w:rPr>
        <w:t>IAB</w:t>
      </w:r>
      <w:r w:rsidR="002447CC">
        <w:rPr>
          <w:lang w:val="en-GB" w:eastAsia="zh-CN"/>
        </w:rPr>
        <w:t xml:space="preserve"> WI and made the following proposals</w:t>
      </w:r>
      <w:r w:rsidRPr="0005218F">
        <w:rPr>
          <w:lang w:val="en-GB" w:eastAsia="zh-CN"/>
        </w:rPr>
        <w:t>:</w:t>
      </w:r>
    </w:p>
    <w:p w:rsidR="006703A8" w:rsidRDefault="006703A8" w:rsidP="00172743">
      <w:pPr>
        <w:spacing w:before="0" w:after="0"/>
        <w:rPr>
          <w:rFonts w:ascii="Calibri" w:hAnsi="Calibri"/>
        </w:rPr>
      </w:pPr>
    </w:p>
    <w:p w:rsidR="0005218F" w:rsidRDefault="0005218F" w:rsidP="00576764">
      <w:pPr>
        <w:pStyle w:val="maintext"/>
        <w:ind w:firstLineChars="0" w:firstLine="0"/>
        <w:rPr>
          <w:rFonts w:asciiTheme="minorHAnsi" w:eastAsia="SimSun" w:hAnsiTheme="minorHAnsi"/>
          <w:b/>
          <w:sz w:val="22"/>
        </w:rPr>
      </w:pPr>
      <w:r>
        <w:rPr>
          <w:rFonts w:asciiTheme="minorHAnsi" w:eastAsia="SimSun" w:hAnsiTheme="minorHAnsi"/>
          <w:b/>
          <w:sz w:val="22"/>
        </w:rPr>
        <w:t>Proposal 1: Both NSA and SA operation for IAB-nodes should be supported in the Rel-16 IAB WI.</w:t>
      </w:r>
    </w:p>
    <w:p w:rsidR="00FD176A" w:rsidRDefault="00FD176A" w:rsidP="00576764">
      <w:pPr>
        <w:pStyle w:val="paragraph"/>
        <w:spacing w:before="0" w:beforeAutospacing="0" w:after="0" w:afterAutospacing="0"/>
        <w:jc w:val="both"/>
        <w:textAlignment w:val="baseline"/>
        <w:rPr>
          <w:rFonts w:asciiTheme="minorHAnsi" w:eastAsia="SimSun" w:hAnsiTheme="minorHAnsi"/>
          <w:b/>
          <w:sz w:val="22"/>
          <w:szCs w:val="20"/>
        </w:rPr>
      </w:pPr>
      <w:r>
        <w:rPr>
          <w:rFonts w:asciiTheme="minorHAnsi" w:eastAsia="SimSun" w:hAnsiTheme="minorHAnsi"/>
          <w:b/>
          <w:sz w:val="22"/>
          <w:szCs w:val="20"/>
        </w:rPr>
        <w:t>Proposal 2</w:t>
      </w:r>
      <w:r w:rsidRPr="00B63945">
        <w:rPr>
          <w:rFonts w:asciiTheme="minorHAnsi" w:eastAsia="SimSun" w:hAnsiTheme="minorHAnsi"/>
          <w:b/>
          <w:sz w:val="22"/>
          <w:szCs w:val="20"/>
        </w:rPr>
        <w:t xml:space="preserve">: The IAB design </w:t>
      </w:r>
      <w:r>
        <w:rPr>
          <w:rFonts w:asciiTheme="minorHAnsi" w:eastAsia="SimSun" w:hAnsiTheme="minorHAnsi"/>
          <w:b/>
          <w:sz w:val="22"/>
          <w:szCs w:val="20"/>
        </w:rPr>
        <w:t xml:space="preserve">in Rel-16 should support </w:t>
      </w:r>
      <w:r w:rsidRPr="007D3917">
        <w:rPr>
          <w:rFonts w:asciiTheme="minorHAnsi" w:eastAsia="SimSun" w:hAnsiTheme="minorHAnsi"/>
          <w:b/>
          <w:sz w:val="22"/>
          <w:szCs w:val="20"/>
        </w:rPr>
        <w:t>route switching based on intra-frequency multi-connectivity</w:t>
      </w:r>
      <w:r>
        <w:rPr>
          <w:rFonts w:asciiTheme="minorHAnsi" w:eastAsia="SimSun" w:hAnsiTheme="minorHAnsi"/>
          <w:b/>
          <w:sz w:val="22"/>
          <w:szCs w:val="20"/>
        </w:rPr>
        <w:t>, leveraging existing NR solutions</w:t>
      </w:r>
      <w:r w:rsidRPr="007D3917">
        <w:rPr>
          <w:rFonts w:asciiTheme="minorHAnsi" w:eastAsia="SimSun" w:hAnsiTheme="minorHAnsi"/>
          <w:b/>
          <w:sz w:val="22"/>
          <w:szCs w:val="20"/>
        </w:rPr>
        <w:t xml:space="preserve"> of fast centralized retransmission of pending PDCP PDUs</w:t>
      </w:r>
      <w:r>
        <w:rPr>
          <w:rFonts w:asciiTheme="minorHAnsi" w:eastAsia="SimSun" w:hAnsiTheme="minorHAnsi"/>
          <w:b/>
          <w:sz w:val="22"/>
          <w:szCs w:val="20"/>
        </w:rPr>
        <w:t xml:space="preserve"> as well as NR-NR DC</w:t>
      </w:r>
      <w:r w:rsidRPr="00B63945">
        <w:rPr>
          <w:rFonts w:asciiTheme="minorHAnsi" w:eastAsia="SimSun" w:hAnsiTheme="minorHAnsi"/>
          <w:b/>
          <w:sz w:val="22"/>
          <w:szCs w:val="20"/>
        </w:rPr>
        <w:t>.</w:t>
      </w:r>
    </w:p>
    <w:p w:rsidR="002447CC" w:rsidRPr="002447CC" w:rsidRDefault="002447CC" w:rsidP="00576764">
      <w:pPr>
        <w:pStyle w:val="maintext"/>
        <w:ind w:firstLineChars="0" w:firstLine="0"/>
        <w:rPr>
          <w:rFonts w:asciiTheme="minorHAnsi" w:eastAsia="SimSun" w:hAnsiTheme="minorHAnsi" w:cs="Times New Roman"/>
          <w:b/>
          <w:sz w:val="22"/>
          <w:lang w:val="en-US" w:eastAsia="en-US"/>
        </w:rPr>
      </w:pPr>
      <w:r w:rsidRPr="002447CC">
        <w:rPr>
          <w:rFonts w:asciiTheme="minorHAnsi" w:eastAsia="SimSun" w:hAnsiTheme="minorHAnsi" w:cs="Times New Roman"/>
          <w:b/>
          <w:sz w:val="22"/>
          <w:lang w:val="en-US" w:eastAsia="en-US"/>
        </w:rPr>
        <w:t>Proposal</w:t>
      </w:r>
      <w:r>
        <w:rPr>
          <w:rFonts w:asciiTheme="minorHAnsi" w:eastAsia="SimSun" w:hAnsiTheme="minorHAnsi" w:cs="Times New Roman"/>
          <w:b/>
          <w:sz w:val="22"/>
          <w:lang w:val="en-US" w:eastAsia="en-US"/>
        </w:rPr>
        <w:t xml:space="preserve"> 3</w:t>
      </w:r>
      <w:r w:rsidRPr="002447CC">
        <w:rPr>
          <w:rFonts w:asciiTheme="minorHAnsi" w:eastAsia="SimSun" w:hAnsiTheme="minorHAnsi" w:cs="Times New Roman"/>
          <w:b/>
          <w:sz w:val="22"/>
          <w:lang w:val="en-US" w:eastAsia="en-US"/>
        </w:rPr>
        <w:t xml:space="preserve">: In addition to TDM partitioning of </w:t>
      </w:r>
      <w:r>
        <w:rPr>
          <w:rFonts w:asciiTheme="minorHAnsi" w:eastAsia="SimSun" w:hAnsiTheme="minorHAnsi" w:cs="Times New Roman"/>
          <w:b/>
          <w:sz w:val="22"/>
          <w:lang w:val="en-US" w:eastAsia="en-US"/>
        </w:rPr>
        <w:t>access and backhaul</w:t>
      </w:r>
      <w:r w:rsidRPr="002447CC">
        <w:rPr>
          <w:rFonts w:asciiTheme="minorHAnsi" w:eastAsia="SimSun" w:hAnsiTheme="minorHAnsi" w:cs="Times New Roman"/>
          <w:b/>
          <w:sz w:val="22"/>
          <w:lang w:val="en-US" w:eastAsia="en-US"/>
        </w:rPr>
        <w:t xml:space="preserve"> links, the resource allocation singling developed in the Rel-16 IAB WI should support FDM/SDM operation and coordination mechanisms which enable alignment of DL transmissions of the IAB node’s DU with UL transmission slots of the IAB node’s MT as well as alignment of DL reception slots of the IAB nodes’ MT with UL reception slots at the IAB node’s DU.</w:t>
      </w:r>
    </w:p>
    <w:p w:rsidR="0005218F" w:rsidRDefault="0005218F" w:rsidP="00172743">
      <w:pPr>
        <w:spacing w:before="0" w:after="0"/>
        <w:rPr>
          <w:rFonts w:ascii="Calibri" w:hAnsi="Calibri"/>
        </w:rPr>
      </w:pPr>
    </w:p>
    <w:p w:rsidR="00FE6C15" w:rsidRPr="0076067D" w:rsidRDefault="00FE6C15" w:rsidP="0076067D">
      <w:pPr>
        <w:pStyle w:val="Heading1"/>
      </w:pPr>
      <w:r>
        <w:t>Reference</w:t>
      </w:r>
    </w:p>
    <w:p w:rsidR="00432E17" w:rsidRDefault="00C724F1" w:rsidP="00432E17">
      <w:pPr>
        <w:pStyle w:val="2222"/>
        <w:numPr>
          <w:ilvl w:val="0"/>
          <w:numId w:val="5"/>
        </w:numPr>
        <w:spacing w:after="120" w:line="288" w:lineRule="auto"/>
        <w:ind w:left="360" w:firstLineChars="0"/>
        <w:jc w:val="left"/>
        <w:rPr>
          <w:rFonts w:cs="Times New Roman"/>
          <w:lang w:eastAsia="ko-KR"/>
        </w:rPr>
      </w:pPr>
      <w:r>
        <w:rPr>
          <w:rFonts w:cs="Times New Roman"/>
          <w:lang w:eastAsia="ko-KR"/>
        </w:rPr>
        <w:t xml:space="preserve">RP-170831, Study on Integrated Access and Backhaul for NR, AT&amp;T, </w:t>
      </w:r>
      <w:r w:rsidR="00DB7F80">
        <w:rPr>
          <w:rFonts w:cs="Times New Roman"/>
          <w:lang w:eastAsia="ko-KR"/>
        </w:rPr>
        <w:t xml:space="preserve">KDDI, </w:t>
      </w:r>
      <w:r>
        <w:rPr>
          <w:rFonts w:cs="Times New Roman"/>
          <w:lang w:eastAsia="ko-KR"/>
        </w:rPr>
        <w:t>Qualcomm, Samsung.</w:t>
      </w:r>
    </w:p>
    <w:p w:rsidR="00432E17" w:rsidRDefault="00432E17" w:rsidP="00432E17">
      <w:pPr>
        <w:pStyle w:val="2222"/>
        <w:numPr>
          <w:ilvl w:val="0"/>
          <w:numId w:val="5"/>
        </w:numPr>
        <w:spacing w:after="120" w:line="288" w:lineRule="auto"/>
        <w:ind w:left="360" w:firstLineChars="0"/>
        <w:jc w:val="left"/>
        <w:rPr>
          <w:rFonts w:cs="Times New Roman"/>
          <w:lang w:eastAsia="ko-KR"/>
        </w:rPr>
      </w:pPr>
      <w:r w:rsidRPr="00432E17">
        <w:rPr>
          <w:rFonts w:cs="Times New Roman"/>
          <w:lang w:eastAsia="ko-KR"/>
        </w:rPr>
        <w:t>RP-182329, TR 38.874 v1.0.0 on NR; Study on integrated access and backhaul</w:t>
      </w:r>
    </w:p>
    <w:p w:rsidR="007007F5" w:rsidRPr="007007F5" w:rsidRDefault="007007F5" w:rsidP="007007F5">
      <w:pPr>
        <w:pStyle w:val="2222"/>
        <w:numPr>
          <w:ilvl w:val="0"/>
          <w:numId w:val="5"/>
        </w:numPr>
        <w:spacing w:after="120" w:line="288" w:lineRule="auto"/>
        <w:ind w:left="360" w:firstLineChars="0"/>
        <w:jc w:val="left"/>
        <w:rPr>
          <w:rFonts w:cs="Times New Roman"/>
          <w:lang w:eastAsia="ko-KR"/>
        </w:rPr>
      </w:pPr>
      <w:r>
        <w:rPr>
          <w:rFonts w:cs="Times New Roman"/>
          <w:lang w:eastAsia="ko-KR"/>
        </w:rPr>
        <w:t>R3-173235, Mechanism for fast retransmission of lost PDUs, Ericsson, AT&amp;T</w:t>
      </w:r>
    </w:p>
    <w:sectPr w:rsidR="007007F5" w:rsidRPr="007007F5"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4F91" w:rsidRDefault="006E4F91" w:rsidP="00424124">
      <w:pPr>
        <w:spacing w:before="0" w:after="0"/>
      </w:pPr>
      <w:r>
        <w:separator/>
      </w:r>
    </w:p>
  </w:endnote>
  <w:endnote w:type="continuationSeparator" w:id="0">
    <w:p w:rsidR="006E4F91" w:rsidRDefault="006E4F9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4F91" w:rsidRDefault="006E4F91" w:rsidP="00424124">
      <w:pPr>
        <w:spacing w:before="0" w:after="0"/>
      </w:pPr>
      <w:r>
        <w:separator/>
      </w:r>
    </w:p>
  </w:footnote>
  <w:footnote w:type="continuationSeparator" w:id="0">
    <w:p w:rsidR="006E4F91" w:rsidRDefault="006E4F91"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4119BA"/>
    <w:multiLevelType w:val="hybridMultilevel"/>
    <w:tmpl w:val="57AE3BA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5BC48DB"/>
    <w:multiLevelType w:val="hybridMultilevel"/>
    <w:tmpl w:val="8D7EB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6"/>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6"/>
  </w:num>
  <w:num w:numId="8">
    <w:abstractNumId w:val="13"/>
  </w:num>
  <w:num w:numId="9">
    <w:abstractNumId w:val="2"/>
  </w:num>
  <w:num w:numId="10">
    <w:abstractNumId w:val="3"/>
  </w:num>
  <w:num w:numId="11">
    <w:abstractNumId w:val="17"/>
  </w:num>
  <w:num w:numId="12">
    <w:abstractNumId w:val="8"/>
  </w:num>
  <w:num w:numId="13">
    <w:abstractNumId w:val="9"/>
  </w:num>
  <w:num w:numId="14">
    <w:abstractNumId w:val="20"/>
  </w:num>
  <w:num w:numId="15">
    <w:abstractNumId w:val="1"/>
  </w:num>
  <w:num w:numId="16">
    <w:abstractNumId w:val="19"/>
  </w:num>
  <w:num w:numId="17">
    <w:abstractNumId w:val="14"/>
  </w:num>
  <w:num w:numId="18">
    <w:abstractNumId w:val="11"/>
  </w:num>
  <w:num w:numId="19">
    <w:abstractNumId w:val="10"/>
  </w:num>
  <w:num w:numId="20">
    <w:abstractNumId w:val="16"/>
  </w:num>
  <w:num w:numId="21">
    <w:abstractNumId w:val="16"/>
  </w:num>
  <w:num w:numId="22">
    <w:abstractNumId w:val="5"/>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40EF"/>
    <w:rsid w:val="000463E4"/>
    <w:rsid w:val="00051B4B"/>
    <w:rsid w:val="00051EBB"/>
    <w:rsid w:val="0005218F"/>
    <w:rsid w:val="0005289E"/>
    <w:rsid w:val="000550BC"/>
    <w:rsid w:val="00057E9B"/>
    <w:rsid w:val="000643FA"/>
    <w:rsid w:val="00070728"/>
    <w:rsid w:val="000730C9"/>
    <w:rsid w:val="0007575F"/>
    <w:rsid w:val="00075B2C"/>
    <w:rsid w:val="00075FD1"/>
    <w:rsid w:val="00077656"/>
    <w:rsid w:val="00077712"/>
    <w:rsid w:val="00085800"/>
    <w:rsid w:val="000865E3"/>
    <w:rsid w:val="000917C5"/>
    <w:rsid w:val="00097DC6"/>
    <w:rsid w:val="000A36A9"/>
    <w:rsid w:val="000B0720"/>
    <w:rsid w:val="000B58AF"/>
    <w:rsid w:val="000B6D99"/>
    <w:rsid w:val="000C05C0"/>
    <w:rsid w:val="000C21D0"/>
    <w:rsid w:val="000C57B9"/>
    <w:rsid w:val="000D38DC"/>
    <w:rsid w:val="000E29D8"/>
    <w:rsid w:val="0010303E"/>
    <w:rsid w:val="0011327D"/>
    <w:rsid w:val="00116DA6"/>
    <w:rsid w:val="001279BC"/>
    <w:rsid w:val="00137E15"/>
    <w:rsid w:val="001417A8"/>
    <w:rsid w:val="00153793"/>
    <w:rsid w:val="00172743"/>
    <w:rsid w:val="00175301"/>
    <w:rsid w:val="001A5A68"/>
    <w:rsid w:val="001A6212"/>
    <w:rsid w:val="001A75E0"/>
    <w:rsid w:val="001B731B"/>
    <w:rsid w:val="001C4ACE"/>
    <w:rsid w:val="001C699C"/>
    <w:rsid w:val="001C7725"/>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5464"/>
    <w:rsid w:val="00233D70"/>
    <w:rsid w:val="00235373"/>
    <w:rsid w:val="00242080"/>
    <w:rsid w:val="002447CC"/>
    <w:rsid w:val="00246D61"/>
    <w:rsid w:val="0024786A"/>
    <w:rsid w:val="0025058B"/>
    <w:rsid w:val="00262116"/>
    <w:rsid w:val="002641FE"/>
    <w:rsid w:val="00265254"/>
    <w:rsid w:val="00267362"/>
    <w:rsid w:val="002714F1"/>
    <w:rsid w:val="002725E8"/>
    <w:rsid w:val="00272EC2"/>
    <w:rsid w:val="00273B2A"/>
    <w:rsid w:val="00274677"/>
    <w:rsid w:val="00276785"/>
    <w:rsid w:val="00277973"/>
    <w:rsid w:val="00287D4D"/>
    <w:rsid w:val="0029112F"/>
    <w:rsid w:val="0029147A"/>
    <w:rsid w:val="00297225"/>
    <w:rsid w:val="002A005E"/>
    <w:rsid w:val="002A0270"/>
    <w:rsid w:val="002A66E2"/>
    <w:rsid w:val="002B6E52"/>
    <w:rsid w:val="002C0488"/>
    <w:rsid w:val="002C4097"/>
    <w:rsid w:val="002C594E"/>
    <w:rsid w:val="002D3D42"/>
    <w:rsid w:val="002D479B"/>
    <w:rsid w:val="002D6EC9"/>
    <w:rsid w:val="002D787B"/>
    <w:rsid w:val="002E188B"/>
    <w:rsid w:val="002E65B5"/>
    <w:rsid w:val="002F2F26"/>
    <w:rsid w:val="002F3D44"/>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727DB"/>
    <w:rsid w:val="00385177"/>
    <w:rsid w:val="00386642"/>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24124"/>
    <w:rsid w:val="00432E17"/>
    <w:rsid w:val="00434212"/>
    <w:rsid w:val="00440F6E"/>
    <w:rsid w:val="00443645"/>
    <w:rsid w:val="00443CD6"/>
    <w:rsid w:val="00454627"/>
    <w:rsid w:val="004552C9"/>
    <w:rsid w:val="004607AC"/>
    <w:rsid w:val="0046127E"/>
    <w:rsid w:val="00466E46"/>
    <w:rsid w:val="004678E1"/>
    <w:rsid w:val="004709B7"/>
    <w:rsid w:val="00473281"/>
    <w:rsid w:val="00473B68"/>
    <w:rsid w:val="0048301B"/>
    <w:rsid w:val="004A5ABE"/>
    <w:rsid w:val="004A6424"/>
    <w:rsid w:val="004A69D0"/>
    <w:rsid w:val="004A6A82"/>
    <w:rsid w:val="004B6AA8"/>
    <w:rsid w:val="004B6E00"/>
    <w:rsid w:val="004C130E"/>
    <w:rsid w:val="004C186B"/>
    <w:rsid w:val="004C38DD"/>
    <w:rsid w:val="004C3F2E"/>
    <w:rsid w:val="004C4856"/>
    <w:rsid w:val="004C6DC3"/>
    <w:rsid w:val="004C6ED8"/>
    <w:rsid w:val="004C7784"/>
    <w:rsid w:val="004D453B"/>
    <w:rsid w:val="004D780D"/>
    <w:rsid w:val="004D7CF8"/>
    <w:rsid w:val="004E6BC0"/>
    <w:rsid w:val="004E6D3B"/>
    <w:rsid w:val="005007E9"/>
    <w:rsid w:val="00504C05"/>
    <w:rsid w:val="00504E5F"/>
    <w:rsid w:val="005055A6"/>
    <w:rsid w:val="00507060"/>
    <w:rsid w:val="0051179B"/>
    <w:rsid w:val="00512838"/>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6764"/>
    <w:rsid w:val="005778C8"/>
    <w:rsid w:val="0058120D"/>
    <w:rsid w:val="005A18B4"/>
    <w:rsid w:val="005A60B4"/>
    <w:rsid w:val="005B47BD"/>
    <w:rsid w:val="005B69C2"/>
    <w:rsid w:val="005B6FA6"/>
    <w:rsid w:val="005D2C51"/>
    <w:rsid w:val="005F21BF"/>
    <w:rsid w:val="005F613D"/>
    <w:rsid w:val="00600F57"/>
    <w:rsid w:val="00603015"/>
    <w:rsid w:val="0060603E"/>
    <w:rsid w:val="00632789"/>
    <w:rsid w:val="00633934"/>
    <w:rsid w:val="00634707"/>
    <w:rsid w:val="00636F9E"/>
    <w:rsid w:val="006439F2"/>
    <w:rsid w:val="00644034"/>
    <w:rsid w:val="00644B2D"/>
    <w:rsid w:val="006477B7"/>
    <w:rsid w:val="00652AC8"/>
    <w:rsid w:val="0065437E"/>
    <w:rsid w:val="0066157D"/>
    <w:rsid w:val="00666A8C"/>
    <w:rsid w:val="006703A8"/>
    <w:rsid w:val="0067125A"/>
    <w:rsid w:val="00671E30"/>
    <w:rsid w:val="006756FB"/>
    <w:rsid w:val="00677BD0"/>
    <w:rsid w:val="00685B82"/>
    <w:rsid w:val="00685E11"/>
    <w:rsid w:val="0069705B"/>
    <w:rsid w:val="006A0EDC"/>
    <w:rsid w:val="006A18DB"/>
    <w:rsid w:val="006A2D2E"/>
    <w:rsid w:val="006C0BAC"/>
    <w:rsid w:val="006C452E"/>
    <w:rsid w:val="006C7692"/>
    <w:rsid w:val="006D6ABC"/>
    <w:rsid w:val="006E4F91"/>
    <w:rsid w:val="006E5343"/>
    <w:rsid w:val="006E790B"/>
    <w:rsid w:val="006F055C"/>
    <w:rsid w:val="006F52D9"/>
    <w:rsid w:val="007007F5"/>
    <w:rsid w:val="00702C40"/>
    <w:rsid w:val="007057A4"/>
    <w:rsid w:val="00707D20"/>
    <w:rsid w:val="00710F58"/>
    <w:rsid w:val="00713175"/>
    <w:rsid w:val="00713382"/>
    <w:rsid w:val="00714B77"/>
    <w:rsid w:val="00714CA5"/>
    <w:rsid w:val="00721AD7"/>
    <w:rsid w:val="007225EF"/>
    <w:rsid w:val="00722BA6"/>
    <w:rsid w:val="00723DC5"/>
    <w:rsid w:val="00726B84"/>
    <w:rsid w:val="00727952"/>
    <w:rsid w:val="007316AF"/>
    <w:rsid w:val="007338D6"/>
    <w:rsid w:val="00740B36"/>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46F"/>
    <w:rsid w:val="007F0AF3"/>
    <w:rsid w:val="007F1928"/>
    <w:rsid w:val="007F392E"/>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1CDC"/>
    <w:rsid w:val="008E48C2"/>
    <w:rsid w:val="008F2160"/>
    <w:rsid w:val="00901B67"/>
    <w:rsid w:val="00905E86"/>
    <w:rsid w:val="009124E4"/>
    <w:rsid w:val="00917D0F"/>
    <w:rsid w:val="00924EA9"/>
    <w:rsid w:val="00925FA2"/>
    <w:rsid w:val="00926A9C"/>
    <w:rsid w:val="00927803"/>
    <w:rsid w:val="00940101"/>
    <w:rsid w:val="00940DAB"/>
    <w:rsid w:val="009453B3"/>
    <w:rsid w:val="009550DA"/>
    <w:rsid w:val="00957CD1"/>
    <w:rsid w:val="00961DB2"/>
    <w:rsid w:val="009718DD"/>
    <w:rsid w:val="0097292F"/>
    <w:rsid w:val="009741D9"/>
    <w:rsid w:val="009750CC"/>
    <w:rsid w:val="00980746"/>
    <w:rsid w:val="00982CA4"/>
    <w:rsid w:val="00984235"/>
    <w:rsid w:val="00992432"/>
    <w:rsid w:val="00993D92"/>
    <w:rsid w:val="009965C8"/>
    <w:rsid w:val="00997E4E"/>
    <w:rsid w:val="009A4D63"/>
    <w:rsid w:val="009A54FC"/>
    <w:rsid w:val="009B08C5"/>
    <w:rsid w:val="009B52C0"/>
    <w:rsid w:val="009B75E8"/>
    <w:rsid w:val="009C2167"/>
    <w:rsid w:val="009D46C1"/>
    <w:rsid w:val="009E0D02"/>
    <w:rsid w:val="009E4418"/>
    <w:rsid w:val="009E5838"/>
    <w:rsid w:val="00A0235E"/>
    <w:rsid w:val="00A04526"/>
    <w:rsid w:val="00A07131"/>
    <w:rsid w:val="00A11704"/>
    <w:rsid w:val="00A11840"/>
    <w:rsid w:val="00A21D13"/>
    <w:rsid w:val="00A22671"/>
    <w:rsid w:val="00A22C61"/>
    <w:rsid w:val="00A262E4"/>
    <w:rsid w:val="00A26EC3"/>
    <w:rsid w:val="00A300E0"/>
    <w:rsid w:val="00A359C7"/>
    <w:rsid w:val="00A41CF3"/>
    <w:rsid w:val="00A456B1"/>
    <w:rsid w:val="00A4674D"/>
    <w:rsid w:val="00A547CE"/>
    <w:rsid w:val="00A55FF3"/>
    <w:rsid w:val="00A603CE"/>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E72F4"/>
    <w:rsid w:val="00AF0A4B"/>
    <w:rsid w:val="00AF344F"/>
    <w:rsid w:val="00AF4BBC"/>
    <w:rsid w:val="00AF65DE"/>
    <w:rsid w:val="00B04278"/>
    <w:rsid w:val="00B12672"/>
    <w:rsid w:val="00B2434D"/>
    <w:rsid w:val="00B24D29"/>
    <w:rsid w:val="00B32216"/>
    <w:rsid w:val="00B34716"/>
    <w:rsid w:val="00B3707E"/>
    <w:rsid w:val="00B457C1"/>
    <w:rsid w:val="00B55FA2"/>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15E1"/>
    <w:rsid w:val="00BD34B4"/>
    <w:rsid w:val="00BE26B4"/>
    <w:rsid w:val="00BF2C5D"/>
    <w:rsid w:val="00BF31E3"/>
    <w:rsid w:val="00BF5F1C"/>
    <w:rsid w:val="00C02D1A"/>
    <w:rsid w:val="00C07731"/>
    <w:rsid w:val="00C17E83"/>
    <w:rsid w:val="00C218A9"/>
    <w:rsid w:val="00C261F4"/>
    <w:rsid w:val="00C40BE6"/>
    <w:rsid w:val="00C47EE0"/>
    <w:rsid w:val="00C534CA"/>
    <w:rsid w:val="00C63006"/>
    <w:rsid w:val="00C66761"/>
    <w:rsid w:val="00C67568"/>
    <w:rsid w:val="00C7007B"/>
    <w:rsid w:val="00C71871"/>
    <w:rsid w:val="00C724F1"/>
    <w:rsid w:val="00C735F1"/>
    <w:rsid w:val="00C913B6"/>
    <w:rsid w:val="00C91C5E"/>
    <w:rsid w:val="00C92E44"/>
    <w:rsid w:val="00CA6EA3"/>
    <w:rsid w:val="00CB15A7"/>
    <w:rsid w:val="00CB6D97"/>
    <w:rsid w:val="00CC09CE"/>
    <w:rsid w:val="00CD7B54"/>
    <w:rsid w:val="00CE0C9D"/>
    <w:rsid w:val="00CE1FF5"/>
    <w:rsid w:val="00CE5936"/>
    <w:rsid w:val="00D10682"/>
    <w:rsid w:val="00D134C5"/>
    <w:rsid w:val="00D20FA8"/>
    <w:rsid w:val="00D23CDC"/>
    <w:rsid w:val="00D26593"/>
    <w:rsid w:val="00D268EB"/>
    <w:rsid w:val="00D26CFF"/>
    <w:rsid w:val="00D274C6"/>
    <w:rsid w:val="00D446F1"/>
    <w:rsid w:val="00D456D8"/>
    <w:rsid w:val="00D45A0E"/>
    <w:rsid w:val="00D4645D"/>
    <w:rsid w:val="00D4758C"/>
    <w:rsid w:val="00D50169"/>
    <w:rsid w:val="00D5391C"/>
    <w:rsid w:val="00D55FAB"/>
    <w:rsid w:val="00D56786"/>
    <w:rsid w:val="00D61EAB"/>
    <w:rsid w:val="00D63D15"/>
    <w:rsid w:val="00D701D3"/>
    <w:rsid w:val="00D724F9"/>
    <w:rsid w:val="00D7445F"/>
    <w:rsid w:val="00D91E8D"/>
    <w:rsid w:val="00D92B1D"/>
    <w:rsid w:val="00DB0323"/>
    <w:rsid w:val="00DB1FA7"/>
    <w:rsid w:val="00DB3BFC"/>
    <w:rsid w:val="00DB7F80"/>
    <w:rsid w:val="00DC0E31"/>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43560"/>
    <w:rsid w:val="00E46D61"/>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D0416"/>
    <w:rsid w:val="00EE2068"/>
    <w:rsid w:val="00EE4A18"/>
    <w:rsid w:val="00EF1F69"/>
    <w:rsid w:val="00EF61D1"/>
    <w:rsid w:val="00F05333"/>
    <w:rsid w:val="00F101B8"/>
    <w:rsid w:val="00F1311C"/>
    <w:rsid w:val="00F154D0"/>
    <w:rsid w:val="00F261D6"/>
    <w:rsid w:val="00F26D45"/>
    <w:rsid w:val="00F30C84"/>
    <w:rsid w:val="00F35704"/>
    <w:rsid w:val="00F35911"/>
    <w:rsid w:val="00F35DD7"/>
    <w:rsid w:val="00F42D43"/>
    <w:rsid w:val="00F463C9"/>
    <w:rsid w:val="00F57965"/>
    <w:rsid w:val="00F71810"/>
    <w:rsid w:val="00F72ABE"/>
    <w:rsid w:val="00F72B1B"/>
    <w:rsid w:val="00F7596C"/>
    <w:rsid w:val="00F77E12"/>
    <w:rsid w:val="00F814DE"/>
    <w:rsid w:val="00F86EE6"/>
    <w:rsid w:val="00F90045"/>
    <w:rsid w:val="00F925FE"/>
    <w:rsid w:val="00F959A1"/>
    <w:rsid w:val="00FA0472"/>
    <w:rsid w:val="00FA28D1"/>
    <w:rsid w:val="00FA6558"/>
    <w:rsid w:val="00FB217B"/>
    <w:rsid w:val="00FB2665"/>
    <w:rsid w:val="00FC3DE0"/>
    <w:rsid w:val="00FC61FD"/>
    <w:rsid w:val="00FC7020"/>
    <w:rsid w:val="00FD176A"/>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A7C648"/>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aliases w:val="bt"/>
    <w:basedOn w:val="Normal"/>
    <w:link w:val="BodyTextChar"/>
    <w:unhideWhenUsed/>
    <w:rsid w:val="001F02DD"/>
  </w:style>
  <w:style w:type="character" w:customStyle="1" w:styleId="BodyTextChar">
    <w:name w:val="Body Text Char"/>
    <w:aliases w:val="bt Char"/>
    <w:basedOn w:val="DefaultParagraphFont"/>
    <w:link w:val="BodyText"/>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paragraph">
    <w:name w:val="paragraph"/>
    <w:basedOn w:val="Normal"/>
    <w:rsid w:val="009718DD"/>
    <w:pPr>
      <w:spacing w:before="100" w:beforeAutospacing="1" w:after="100" w:afterAutospacing="1"/>
      <w:jc w:val="left"/>
    </w:pPr>
    <w:rPr>
      <w:rFonts w:ascii="Times New Roman" w:hAnsi="Times New Roman"/>
      <w:sz w:val="24"/>
      <w:szCs w:val="24"/>
    </w:rPr>
  </w:style>
  <w:style w:type="paragraph" w:customStyle="1" w:styleId="TdocHeader2">
    <w:name w:val="Tdoc_Header_2"/>
    <w:basedOn w:val="Normal"/>
    <w:rsid w:val="00E43560"/>
    <w:pPr>
      <w:widowControl w:val="0"/>
      <w:tabs>
        <w:tab w:val="left" w:pos="1701"/>
        <w:tab w:val="right" w:pos="9072"/>
        <w:tab w:val="right" w:pos="10206"/>
      </w:tabs>
      <w:spacing w:before="0" w:after="0"/>
    </w:pPr>
    <w:rPr>
      <w:rFonts w:eastAsia="Batang"/>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cid:image002.png@01D39440.045232F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cid:image005.png@01D3944D.5F473090"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A5E4C-7FCA-48CC-9813-E42DA4AEC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1885</Words>
  <Characters>10749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12609</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Arun Ghosh</cp:lastModifiedBy>
  <cp:revision>2</cp:revision>
  <cp:lastPrinted>2018-09-28T20:14:00Z</cp:lastPrinted>
  <dcterms:created xsi:type="dcterms:W3CDTF">2018-12-10T08:11:00Z</dcterms:created>
  <dcterms:modified xsi:type="dcterms:W3CDTF">2018-12-10T08:11:00Z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