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57E" w:rsidRPr="00EA257E" w:rsidRDefault="00EA257E" w:rsidP="00EA257E">
      <w:pPr>
        <w:widowControl/>
        <w:tabs>
          <w:tab w:val="left" w:pos="567"/>
        </w:tabs>
        <w:adjustRightInd w:val="0"/>
        <w:snapToGrid w:val="0"/>
        <w:spacing w:after="0"/>
        <w:ind w:left="0"/>
        <w:jc w:val="left"/>
        <w:rPr>
          <w:rFonts w:ascii="Arial" w:eastAsia="MS Mincho" w:hAnsi="Arial" w:cs="Arial"/>
          <w:b/>
          <w:iCs w:val="0"/>
          <w:color w:val="auto"/>
          <w:sz w:val="28"/>
          <w:szCs w:val="28"/>
          <w:lang w:eastAsia="en-US"/>
        </w:rPr>
      </w:pPr>
      <w:r w:rsidRPr="00EA257E">
        <w:rPr>
          <w:rFonts w:ascii="Arial" w:eastAsia="Times New Roman" w:hAnsi="Arial" w:cs="Arial"/>
          <w:b/>
          <w:iCs w:val="0"/>
          <w:color w:val="auto"/>
          <w:sz w:val="28"/>
          <w:szCs w:val="28"/>
          <w:lang w:eastAsia="en-US"/>
        </w:rPr>
        <w:t>3GPP TSG RAN Meeting #79</w:t>
      </w:r>
      <w:r w:rsidRPr="00EA257E">
        <w:rPr>
          <w:rFonts w:ascii="Arial" w:eastAsia="Times New Roman" w:hAnsi="Arial" w:cs="Arial"/>
          <w:b/>
          <w:iCs w:val="0"/>
          <w:color w:val="auto"/>
          <w:sz w:val="28"/>
          <w:szCs w:val="28"/>
          <w:lang w:eastAsia="en-US"/>
        </w:rPr>
        <w:tab/>
      </w:r>
      <w:r w:rsidRPr="00EA257E">
        <w:rPr>
          <w:rFonts w:ascii="Arial" w:eastAsia="Times New Roman" w:hAnsi="Arial" w:cs="Arial"/>
          <w:b/>
          <w:iCs w:val="0"/>
          <w:color w:val="auto"/>
          <w:sz w:val="28"/>
          <w:szCs w:val="28"/>
          <w:lang w:eastAsia="en-US"/>
        </w:rPr>
        <w:tab/>
      </w:r>
      <w:r w:rsidRPr="00EA257E">
        <w:rPr>
          <w:rFonts w:ascii="Arial" w:eastAsia="MS Mincho" w:hAnsi="Arial" w:cs="Arial" w:hint="eastAsia"/>
          <w:b/>
          <w:iCs w:val="0"/>
          <w:color w:val="auto"/>
          <w:sz w:val="28"/>
          <w:szCs w:val="28"/>
          <w:lang w:eastAsia="en-US"/>
        </w:rPr>
        <w:tab/>
      </w:r>
      <w:r w:rsidRPr="00EA257E">
        <w:rPr>
          <w:rFonts w:ascii="Arial" w:eastAsia="MS Mincho" w:hAnsi="Arial" w:cs="Arial" w:hint="eastAsia"/>
          <w:b/>
          <w:iCs w:val="0"/>
          <w:color w:val="auto"/>
          <w:sz w:val="28"/>
          <w:szCs w:val="28"/>
          <w:lang w:eastAsia="en-US"/>
        </w:rPr>
        <w:tab/>
      </w:r>
      <w:r w:rsidRPr="00EA257E">
        <w:rPr>
          <w:rFonts w:ascii="Arial" w:eastAsia="MS Mincho" w:hAnsi="Arial" w:cs="Arial" w:hint="eastAsia"/>
          <w:b/>
          <w:iCs w:val="0"/>
          <w:color w:val="auto"/>
          <w:sz w:val="28"/>
          <w:szCs w:val="28"/>
          <w:lang w:eastAsia="en-US"/>
        </w:rPr>
        <w:tab/>
      </w:r>
      <w:r w:rsidRPr="00EA257E">
        <w:rPr>
          <w:rFonts w:ascii="Arial" w:eastAsia="Times New Roman" w:hAnsi="Arial" w:cs="Arial"/>
          <w:b/>
          <w:iCs w:val="0"/>
          <w:color w:val="auto"/>
          <w:sz w:val="28"/>
          <w:szCs w:val="28"/>
          <w:lang w:eastAsia="en-US"/>
        </w:rPr>
        <w:t>RP-180</w:t>
      </w:r>
      <w:r w:rsidR="00F96B6C">
        <w:rPr>
          <w:rFonts w:ascii="Arial" w:eastAsia="Times New Roman" w:hAnsi="Arial" w:cs="Arial"/>
          <w:b/>
          <w:iCs w:val="0"/>
          <w:color w:val="auto"/>
          <w:sz w:val="28"/>
          <w:szCs w:val="28"/>
          <w:lang w:eastAsia="en-US"/>
        </w:rPr>
        <w:t>336</w:t>
      </w:r>
    </w:p>
    <w:p w:rsidR="00EA257E" w:rsidRPr="00EA257E" w:rsidRDefault="00EA257E" w:rsidP="00EA257E">
      <w:pPr>
        <w:widowControl/>
        <w:tabs>
          <w:tab w:val="left" w:pos="567"/>
        </w:tabs>
        <w:overflowPunct w:val="0"/>
        <w:autoSpaceDE w:val="0"/>
        <w:autoSpaceDN w:val="0"/>
        <w:adjustRightInd w:val="0"/>
        <w:spacing w:after="180"/>
        <w:ind w:left="0"/>
        <w:jc w:val="left"/>
        <w:textAlignment w:val="baseline"/>
        <w:rPr>
          <w:rFonts w:ascii="Arial" w:eastAsia="Times New Roman" w:hAnsi="Arial" w:cs="Arial"/>
          <w:b/>
          <w:iCs w:val="0"/>
          <w:color w:val="auto"/>
          <w:sz w:val="28"/>
          <w:szCs w:val="28"/>
          <w:lang w:eastAsia="en-US"/>
        </w:rPr>
      </w:pPr>
      <w:r w:rsidRPr="00EA257E">
        <w:rPr>
          <w:rFonts w:ascii="Arial" w:eastAsia="Times New Roman" w:hAnsi="Arial" w:cs="Arial"/>
          <w:b/>
          <w:iCs w:val="0"/>
          <w:color w:val="auto"/>
          <w:sz w:val="28"/>
          <w:szCs w:val="28"/>
          <w:lang w:eastAsia="en-US"/>
        </w:rPr>
        <w:t>Chennai, India, March 19 - 22, 2018</w:t>
      </w:r>
    </w:p>
    <w:p w:rsidR="00EA257E" w:rsidRPr="00EA257E" w:rsidRDefault="00EA257E" w:rsidP="00EA257E">
      <w:pPr>
        <w:widowControl/>
        <w:tabs>
          <w:tab w:val="left" w:pos="567"/>
        </w:tabs>
        <w:overflowPunct w:val="0"/>
        <w:autoSpaceDE w:val="0"/>
        <w:autoSpaceDN w:val="0"/>
        <w:adjustRightInd w:val="0"/>
        <w:spacing w:after="180"/>
        <w:ind w:left="0"/>
        <w:jc w:val="left"/>
        <w:textAlignment w:val="baseline"/>
        <w:rPr>
          <w:rFonts w:ascii="Arial" w:eastAsia="Times New Roman" w:hAnsi="Arial" w:cs="Arial"/>
          <w:iCs w:val="0"/>
          <w:color w:val="auto"/>
          <w:sz w:val="17"/>
          <w:szCs w:val="17"/>
          <w:lang w:eastAsia="en-US"/>
        </w:rPr>
      </w:pPr>
    </w:p>
    <w:p w:rsidR="00EA257E" w:rsidRPr="00EA257E" w:rsidRDefault="00EA257E" w:rsidP="00EA257E">
      <w:pPr>
        <w:widowControl/>
        <w:tabs>
          <w:tab w:val="left" w:pos="567"/>
        </w:tabs>
        <w:overflowPunct w:val="0"/>
        <w:autoSpaceDE w:val="0"/>
        <w:autoSpaceDN w:val="0"/>
        <w:adjustRightInd w:val="0"/>
        <w:spacing w:after="180"/>
        <w:ind w:left="0"/>
        <w:jc w:val="left"/>
        <w:textAlignment w:val="baseline"/>
        <w:rPr>
          <w:rFonts w:ascii="Arial" w:eastAsia="Times New Roman" w:hAnsi="Arial"/>
          <w:b/>
          <w:iCs w:val="0"/>
          <w:color w:val="auto"/>
          <w:lang w:val="en-US" w:eastAsia="en-US"/>
        </w:rPr>
      </w:pPr>
      <w:r w:rsidRPr="00EA257E">
        <w:rPr>
          <w:rFonts w:ascii="Arial" w:eastAsia="Times New Roman" w:hAnsi="Arial"/>
          <w:b/>
          <w:iCs w:val="0"/>
          <w:color w:val="auto"/>
          <w:lang w:val="en-US" w:eastAsia="en-US"/>
        </w:rPr>
        <w:t>Agenda Item:</w:t>
      </w:r>
      <w:r w:rsidRPr="00EA257E">
        <w:rPr>
          <w:rFonts w:ascii="Arial" w:eastAsia="Times New Roman" w:hAnsi="Arial"/>
          <w:iCs w:val="0"/>
          <w:color w:val="auto"/>
          <w:lang w:val="en-US" w:eastAsia="en-US"/>
        </w:rPr>
        <w:tab/>
      </w:r>
      <w:bookmarkStart w:id="0" w:name="Source"/>
      <w:bookmarkEnd w:id="0"/>
      <w:r w:rsidRPr="00EA257E">
        <w:rPr>
          <w:rFonts w:ascii="Arial" w:eastAsia="Times New Roman" w:hAnsi="Arial"/>
          <w:b/>
          <w:iCs w:val="0"/>
          <w:color w:val="auto"/>
          <w:lang w:val="en-US" w:eastAsia="en-US"/>
        </w:rPr>
        <w:tab/>
      </w:r>
      <w:r w:rsidR="00905A4F">
        <w:rPr>
          <w:rFonts w:ascii="Arial" w:eastAsia="Times New Roman" w:hAnsi="Arial"/>
          <w:b/>
          <w:iCs w:val="0"/>
          <w:color w:val="auto"/>
          <w:lang w:val="en-US" w:eastAsia="en-US"/>
        </w:rPr>
        <w:t>9.</w:t>
      </w:r>
      <w:r w:rsidR="00F96B6C">
        <w:rPr>
          <w:rFonts w:ascii="Arial" w:eastAsia="Times New Roman" w:hAnsi="Arial"/>
          <w:b/>
          <w:iCs w:val="0"/>
          <w:color w:val="auto"/>
          <w:lang w:val="en-US" w:eastAsia="en-US"/>
        </w:rPr>
        <w:t>3.</w:t>
      </w:r>
      <w:r w:rsidR="00905A4F">
        <w:rPr>
          <w:rFonts w:ascii="Arial" w:eastAsia="Times New Roman" w:hAnsi="Arial"/>
          <w:b/>
          <w:iCs w:val="0"/>
          <w:color w:val="auto"/>
          <w:lang w:val="en-US" w:eastAsia="en-US"/>
        </w:rPr>
        <w:t>5</w:t>
      </w:r>
    </w:p>
    <w:p w:rsidR="00EA257E" w:rsidRPr="00EA257E" w:rsidRDefault="00EA257E" w:rsidP="00EA257E">
      <w:pPr>
        <w:widowControl/>
        <w:tabs>
          <w:tab w:val="left" w:pos="567"/>
        </w:tabs>
        <w:overflowPunct w:val="0"/>
        <w:autoSpaceDE w:val="0"/>
        <w:autoSpaceDN w:val="0"/>
        <w:adjustRightInd w:val="0"/>
        <w:spacing w:after="180"/>
        <w:ind w:left="0"/>
        <w:jc w:val="left"/>
        <w:textAlignment w:val="baseline"/>
        <w:rPr>
          <w:rFonts w:ascii="Arial" w:eastAsia="Times New Roman" w:hAnsi="Arial"/>
          <w:iCs w:val="0"/>
          <w:color w:val="auto"/>
          <w:lang w:eastAsia="en-US"/>
        </w:rPr>
      </w:pPr>
      <w:r w:rsidRPr="00EA257E">
        <w:rPr>
          <w:rFonts w:ascii="Arial" w:eastAsia="Times New Roman" w:hAnsi="Arial"/>
          <w:b/>
          <w:iCs w:val="0"/>
          <w:color w:val="auto"/>
          <w:lang w:eastAsia="en-US"/>
        </w:rPr>
        <w:t>Source:</w:t>
      </w:r>
      <w:r w:rsidRPr="00EA257E">
        <w:rPr>
          <w:rFonts w:ascii="Arial" w:eastAsia="Times New Roman" w:hAnsi="Arial"/>
          <w:b/>
          <w:iCs w:val="0"/>
          <w:color w:val="auto"/>
          <w:lang w:eastAsia="en-US"/>
        </w:rPr>
        <w:tab/>
      </w:r>
      <w:r w:rsidRPr="00EA257E">
        <w:rPr>
          <w:rFonts w:ascii="Arial" w:eastAsia="Times New Roman" w:hAnsi="Arial"/>
          <w:b/>
          <w:iCs w:val="0"/>
          <w:color w:val="auto"/>
          <w:lang w:eastAsia="en-US"/>
        </w:rPr>
        <w:tab/>
      </w:r>
      <w:r w:rsidR="00F96B6C">
        <w:rPr>
          <w:rFonts w:ascii="Arial" w:eastAsia="Times New Roman" w:hAnsi="Arial"/>
          <w:b/>
          <w:iCs w:val="0"/>
          <w:color w:val="auto"/>
          <w:lang w:eastAsia="en-US"/>
        </w:rPr>
        <w:t>Reliance Jio</w:t>
      </w:r>
    </w:p>
    <w:p w:rsidR="00EA257E" w:rsidRPr="00EA257E" w:rsidRDefault="00EA257E" w:rsidP="00EA257E">
      <w:pPr>
        <w:widowControl/>
        <w:tabs>
          <w:tab w:val="left" w:pos="567"/>
        </w:tabs>
        <w:overflowPunct w:val="0"/>
        <w:autoSpaceDE w:val="0"/>
        <w:autoSpaceDN w:val="0"/>
        <w:adjustRightInd w:val="0"/>
        <w:spacing w:after="180"/>
        <w:ind w:left="0"/>
        <w:jc w:val="left"/>
        <w:textAlignment w:val="baseline"/>
        <w:rPr>
          <w:rFonts w:ascii="Arial" w:eastAsia="Times New Roman" w:hAnsi="Arial"/>
          <w:iCs w:val="0"/>
          <w:color w:val="auto"/>
          <w:lang w:eastAsia="en-US"/>
        </w:rPr>
      </w:pPr>
      <w:r w:rsidRPr="00EA257E">
        <w:rPr>
          <w:rFonts w:ascii="Arial" w:eastAsia="Times New Roman" w:hAnsi="Arial"/>
          <w:b/>
          <w:iCs w:val="0"/>
          <w:color w:val="auto"/>
          <w:lang w:eastAsia="en-US"/>
        </w:rPr>
        <w:t>Title:</w:t>
      </w:r>
      <w:r w:rsidRPr="00EA257E">
        <w:rPr>
          <w:rFonts w:ascii="Arial" w:eastAsia="Times New Roman" w:hAnsi="Arial"/>
          <w:iCs w:val="0"/>
          <w:color w:val="auto"/>
          <w:lang w:eastAsia="en-US"/>
        </w:rPr>
        <w:tab/>
      </w:r>
      <w:r w:rsidRPr="00EA257E">
        <w:rPr>
          <w:rFonts w:ascii="Arial" w:eastAsia="Times New Roman" w:hAnsi="Arial"/>
          <w:iCs w:val="0"/>
          <w:color w:val="auto"/>
          <w:lang w:eastAsia="en-US"/>
        </w:rPr>
        <w:tab/>
      </w:r>
      <w:r w:rsidRPr="00EA257E">
        <w:rPr>
          <w:rFonts w:ascii="Arial" w:eastAsia="Times New Roman" w:hAnsi="Arial"/>
          <w:iCs w:val="0"/>
          <w:color w:val="auto"/>
          <w:lang w:eastAsia="en-US"/>
        </w:rPr>
        <w:tab/>
      </w:r>
      <w:r w:rsidRPr="00EA257E">
        <w:rPr>
          <w:rFonts w:ascii="Arial" w:eastAsia="Times New Roman" w:hAnsi="Arial"/>
          <w:iCs w:val="0"/>
          <w:color w:val="auto"/>
          <w:lang w:eastAsia="en-US"/>
        </w:rPr>
        <w:tab/>
      </w:r>
      <w:r w:rsidR="00B2375C">
        <w:rPr>
          <w:rFonts w:ascii="Arial" w:eastAsia="Times New Roman" w:hAnsi="Arial"/>
          <w:b/>
          <w:iCs w:val="0"/>
          <w:color w:val="auto"/>
          <w:lang w:eastAsia="en-US"/>
        </w:rPr>
        <w:t>Integrated Access Back</w:t>
      </w:r>
      <w:r w:rsidR="00E87BE6" w:rsidRPr="00E87BE6">
        <w:rPr>
          <w:rFonts w:ascii="Arial" w:eastAsia="Times New Roman" w:hAnsi="Arial"/>
          <w:b/>
          <w:iCs w:val="0"/>
          <w:color w:val="auto"/>
          <w:lang w:eastAsia="en-US"/>
        </w:rPr>
        <w:t xml:space="preserve">haul SI </w:t>
      </w:r>
      <w:r w:rsidR="00B2375C">
        <w:rPr>
          <w:rFonts w:ascii="Arial" w:eastAsia="Times New Roman" w:hAnsi="Arial"/>
          <w:b/>
          <w:iCs w:val="0"/>
          <w:color w:val="auto"/>
          <w:lang w:eastAsia="en-US"/>
        </w:rPr>
        <w:t>prioritization</w:t>
      </w:r>
    </w:p>
    <w:p w:rsidR="00EA257E" w:rsidRPr="00EA257E" w:rsidRDefault="00EA257E" w:rsidP="00EA257E">
      <w:pPr>
        <w:widowControl/>
        <w:tabs>
          <w:tab w:val="left" w:pos="567"/>
        </w:tabs>
        <w:overflowPunct w:val="0"/>
        <w:autoSpaceDE w:val="0"/>
        <w:autoSpaceDN w:val="0"/>
        <w:adjustRightInd w:val="0"/>
        <w:spacing w:after="180"/>
        <w:ind w:left="0"/>
        <w:jc w:val="left"/>
        <w:textAlignment w:val="baseline"/>
        <w:rPr>
          <w:rFonts w:ascii="Arial" w:eastAsia="Times New Roman" w:hAnsi="Arial"/>
          <w:b/>
          <w:iCs w:val="0"/>
          <w:color w:val="auto"/>
          <w:lang w:eastAsia="en-US"/>
        </w:rPr>
      </w:pPr>
      <w:r w:rsidRPr="00EA257E">
        <w:rPr>
          <w:rFonts w:ascii="Arial" w:eastAsia="Times New Roman" w:hAnsi="Arial"/>
          <w:b/>
          <w:iCs w:val="0"/>
          <w:color w:val="auto"/>
          <w:lang w:eastAsia="en-US"/>
        </w:rPr>
        <w:t>Document for:</w:t>
      </w:r>
      <w:r w:rsidRPr="00EA257E">
        <w:rPr>
          <w:rFonts w:ascii="Arial" w:eastAsia="Times New Roman" w:hAnsi="Arial"/>
          <w:iCs w:val="0"/>
          <w:color w:val="auto"/>
          <w:lang w:eastAsia="en-US"/>
        </w:rPr>
        <w:tab/>
      </w:r>
      <w:bookmarkStart w:id="1" w:name="DocumentFor"/>
      <w:bookmarkEnd w:id="1"/>
      <w:r w:rsidRPr="00EA257E">
        <w:rPr>
          <w:rFonts w:ascii="Arial" w:eastAsia="Times New Roman" w:hAnsi="Arial"/>
          <w:iCs w:val="0"/>
          <w:color w:val="auto"/>
          <w:lang w:eastAsia="en-US"/>
        </w:rPr>
        <w:tab/>
      </w:r>
      <w:r w:rsidR="00276DCB">
        <w:rPr>
          <w:rFonts w:ascii="Arial" w:eastAsia="Times New Roman" w:hAnsi="Arial"/>
          <w:b/>
          <w:iCs w:val="0"/>
          <w:color w:val="auto"/>
          <w:lang w:eastAsia="en-US"/>
        </w:rPr>
        <w:t>Decision</w:t>
      </w:r>
    </w:p>
    <w:p w:rsidR="00EA16AF" w:rsidRPr="00EA16AF" w:rsidRDefault="00EA16AF" w:rsidP="00EA16AF">
      <w:pPr>
        <w:ind w:left="0"/>
        <w:rPr>
          <w:rFonts w:ascii="Arial" w:hAnsi="Arial" w:cs="Arial"/>
          <w:b/>
          <w:sz w:val="8"/>
        </w:rPr>
      </w:pPr>
    </w:p>
    <w:p w:rsidR="00070DB3" w:rsidRPr="00A23121" w:rsidRDefault="00707F94" w:rsidP="0081089F">
      <w:pPr>
        <w:pStyle w:val="Heading1"/>
        <w:numPr>
          <w:ilvl w:val="0"/>
          <w:numId w:val="1"/>
        </w:numPr>
      </w:pPr>
      <w:r>
        <w:t>Discussion</w:t>
      </w:r>
    </w:p>
    <w:p w:rsidR="000C3D82" w:rsidRDefault="00ED412F" w:rsidP="002A7C2D">
      <w:pPr>
        <w:ind w:left="0" w:firstLine="426"/>
      </w:pPr>
      <w:r>
        <w:t xml:space="preserve">A SI on Integrated Access Backhaul (IAB) though approved was put on hold till March 2018 to make progress on the </w:t>
      </w:r>
      <w:r w:rsidR="00A30691">
        <w:t xml:space="preserve">5G </w:t>
      </w:r>
      <w:r>
        <w:t xml:space="preserve">NR </w:t>
      </w:r>
      <w:r w:rsidR="00A30691">
        <w:t xml:space="preserve">base </w:t>
      </w:r>
      <w:r>
        <w:t>specification. Now that we are in March 2018, it is recommended that the SI be prioritized in the working groups (RAN 2 primary, RAN1/3 secondary) to be completed within Release 15 so that a possible WI can be started within the Release 16 timelines.</w:t>
      </w:r>
    </w:p>
    <w:p w:rsidR="00ED412F" w:rsidRDefault="00ED412F" w:rsidP="002A7C2D">
      <w:pPr>
        <w:ind w:left="0" w:firstLine="426"/>
      </w:pPr>
      <w:r>
        <w:t xml:space="preserve">Backhaul connectivity is of serious concern to realize the full potential of LTE and early 5G deployments. </w:t>
      </w:r>
    </w:p>
    <w:p w:rsidR="000622B2" w:rsidRDefault="000622B2" w:rsidP="000622B2">
      <w:pPr>
        <w:ind w:left="0" w:firstLine="426"/>
      </w:pPr>
      <w:r>
        <w:t xml:space="preserve">In order to understand the backhaul limitations, we look at </w:t>
      </w:r>
      <w:r w:rsidR="00070B4A">
        <w:t>some</w:t>
      </w:r>
      <w:r>
        <w:t xml:space="preserve"> </w:t>
      </w:r>
      <w:r w:rsidR="006F4FA5">
        <w:t xml:space="preserve">backhaul capacity </w:t>
      </w:r>
      <w:r>
        <w:t>numbers. A typical LTE macro cell (LTE-A scenario…) consumes around 200Mbps to 300Mbps of data. Even if we consider that a typical macro</w:t>
      </w:r>
      <w:r w:rsidR="00070B4A">
        <w:t xml:space="preserve"> </w:t>
      </w:r>
      <w:r>
        <w:t>cell is served by a 1GbE packet-based optical network link, and considering some growth provisioning for 4G data (With Massive MIMO deployments), it is very clear that the best of fibre penetration today is insufficient to support 5G deployments (5G with maximum theoretical download speeds from 1Gbps to 10Gbps based on the user mobility).</w:t>
      </w:r>
    </w:p>
    <w:p w:rsidR="00ED412F" w:rsidRDefault="00070B4A" w:rsidP="002A7C2D">
      <w:pPr>
        <w:ind w:left="0" w:firstLine="426"/>
      </w:pPr>
      <w:r>
        <w:t>We also look at the fibre penetration to homes (for possible 5G small cell deployment scenarios)</w:t>
      </w:r>
    </w:p>
    <w:p w:rsidR="00ED412F" w:rsidRDefault="00ED412F" w:rsidP="00ED412F">
      <w:pPr>
        <w:ind w:left="0" w:firstLine="426"/>
        <w:jc w:val="center"/>
        <w:rPr>
          <w:lang w:val="en-US"/>
        </w:rPr>
      </w:pPr>
      <w:r>
        <w:rPr>
          <w:noProof/>
          <w:lang w:val="en-US" w:eastAsia="en-US"/>
        </w:rPr>
        <w:drawing>
          <wp:inline distT="0" distB="0" distL="0" distR="0" wp14:anchorId="752693ED" wp14:editId="6405D38C">
            <wp:extent cx="4238625" cy="29426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47222" cy="2948572"/>
                    </a:xfrm>
                    <a:prstGeom prst="rect">
                      <a:avLst/>
                    </a:prstGeom>
                    <a:noFill/>
                    <a:ln>
                      <a:noFill/>
                    </a:ln>
                  </pic:spPr>
                </pic:pic>
              </a:graphicData>
            </a:graphic>
          </wp:inline>
        </w:drawing>
      </w:r>
    </w:p>
    <w:p w:rsidR="00ED412F" w:rsidRDefault="00ED412F" w:rsidP="00ED412F">
      <w:pPr>
        <w:ind w:left="0"/>
        <w:rPr>
          <w:lang w:val="en-US"/>
        </w:rPr>
      </w:pPr>
      <w:r w:rsidRPr="00AA1945">
        <w:rPr>
          <w:lang w:val="en-US"/>
        </w:rPr>
        <w:t>India’s FTTH (Fib</w:t>
      </w:r>
      <w:r w:rsidR="00D23D13">
        <w:rPr>
          <w:lang w:val="en-US"/>
        </w:rPr>
        <w:t>er</w:t>
      </w:r>
      <w:r>
        <w:rPr>
          <w:lang w:val="en-US"/>
        </w:rPr>
        <w:t xml:space="preserve"> To The Home) penetration is just around </w:t>
      </w:r>
      <w:r w:rsidR="00F865FE">
        <w:rPr>
          <w:lang w:val="en-US"/>
        </w:rPr>
        <w:t>0.5 percent (Mid 2017 data).</w:t>
      </w:r>
    </w:p>
    <w:p w:rsidR="00B87EE4" w:rsidRDefault="00B87EE4" w:rsidP="002A7C2D">
      <w:pPr>
        <w:ind w:left="0" w:firstLine="426"/>
        <w:rPr>
          <w:b/>
        </w:rPr>
      </w:pPr>
    </w:p>
    <w:p w:rsidR="000C3D82" w:rsidRDefault="000C3D82" w:rsidP="002A7C2D">
      <w:pPr>
        <w:ind w:left="0" w:firstLine="426"/>
        <w:rPr>
          <w:b/>
        </w:rPr>
      </w:pPr>
      <w:r w:rsidRPr="000C3D82">
        <w:rPr>
          <w:b/>
        </w:rPr>
        <w:t xml:space="preserve">Observation 1 – </w:t>
      </w:r>
      <w:r w:rsidR="001847FA">
        <w:rPr>
          <w:b/>
        </w:rPr>
        <w:t>If any operator wants to deploy 5G today</w:t>
      </w:r>
      <w:r w:rsidR="00064F53">
        <w:rPr>
          <w:b/>
        </w:rPr>
        <w:t xml:space="preserve"> (Even a theoretical consideration)</w:t>
      </w:r>
      <w:r w:rsidR="001847FA">
        <w:rPr>
          <w:b/>
        </w:rPr>
        <w:t>, there is simply no backhaul capacity available</w:t>
      </w:r>
      <w:r w:rsidR="008B6114">
        <w:rPr>
          <w:b/>
        </w:rPr>
        <w:t xml:space="preserve"> to support the same</w:t>
      </w:r>
      <w:r w:rsidR="005C0B67">
        <w:rPr>
          <w:b/>
        </w:rPr>
        <w:t>.</w:t>
      </w:r>
      <w:r w:rsidR="005410D6">
        <w:rPr>
          <w:b/>
        </w:rPr>
        <w:t xml:space="preserve"> 5G as a backhaul and 5G self-backhauling is critical for the rapid expansion of LTE deployment and for early 5G deployments.</w:t>
      </w:r>
    </w:p>
    <w:p w:rsidR="00A70A57" w:rsidRDefault="00A70A57" w:rsidP="00A70A57">
      <w:pPr>
        <w:ind w:left="0" w:firstLine="426"/>
        <w:rPr>
          <w:lang w:val="en-US"/>
        </w:rPr>
      </w:pPr>
    </w:p>
    <w:p w:rsidR="00A70A57" w:rsidRPr="00ED21E9" w:rsidRDefault="00A70A57" w:rsidP="00A70A57">
      <w:pPr>
        <w:ind w:left="0" w:firstLine="426"/>
        <w:rPr>
          <w:lang w:val="en-US"/>
        </w:rPr>
      </w:pPr>
      <w:r w:rsidRPr="00ED21E9">
        <w:rPr>
          <w:lang w:val="en-US"/>
        </w:rPr>
        <w:t xml:space="preserve">IAB </w:t>
      </w:r>
      <w:r>
        <w:rPr>
          <w:lang w:val="en-US"/>
        </w:rPr>
        <w:t xml:space="preserve">is also critical for realizing </w:t>
      </w:r>
      <w:r w:rsidRPr="00ED21E9">
        <w:rPr>
          <w:lang w:val="en-US"/>
        </w:rPr>
        <w:t>fronthaul for 5G C-RAN deployments</w:t>
      </w:r>
      <w:r>
        <w:rPr>
          <w:lang w:val="en-US"/>
        </w:rPr>
        <w:t xml:space="preserve">. Wireless fronthaul is critical as </w:t>
      </w:r>
      <w:r>
        <w:rPr>
          <w:lang w:val="en-US"/>
        </w:rPr>
        <w:lastRenderedPageBreak/>
        <w:t>fiber penetration will be insufficient to support the data capacity necessary (~ 4Gbps for a 4T4R C-RAN consideration)</w:t>
      </w:r>
    </w:p>
    <w:p w:rsidR="00A70A57" w:rsidRPr="000C3D82" w:rsidRDefault="00A70A57" w:rsidP="00A70A57">
      <w:pPr>
        <w:ind w:left="0" w:firstLine="426"/>
        <w:rPr>
          <w:b/>
        </w:rPr>
      </w:pPr>
      <w:r w:rsidRPr="000C3D82">
        <w:rPr>
          <w:b/>
        </w:rPr>
        <w:t xml:space="preserve">Observation </w:t>
      </w:r>
      <w:r>
        <w:rPr>
          <w:b/>
        </w:rPr>
        <w:t>2</w:t>
      </w:r>
      <w:r w:rsidRPr="000C3D82">
        <w:rPr>
          <w:b/>
        </w:rPr>
        <w:t xml:space="preserve"> – </w:t>
      </w:r>
      <w:r>
        <w:rPr>
          <w:b/>
        </w:rPr>
        <w:t>CPRI (even eCPRI) might not scale for 5G deployments. Wireless fronthaul is critical for 5G and C-RAN realization.</w:t>
      </w:r>
    </w:p>
    <w:p w:rsidR="00A70A57" w:rsidRPr="000C3D82" w:rsidRDefault="00A70A57" w:rsidP="002A7C2D">
      <w:pPr>
        <w:ind w:left="0" w:firstLine="426"/>
        <w:rPr>
          <w:b/>
        </w:rPr>
      </w:pPr>
    </w:p>
    <w:p w:rsidR="00707F94" w:rsidRPr="00707F94" w:rsidRDefault="00707F94" w:rsidP="002A7C2D">
      <w:pPr>
        <w:ind w:left="0" w:firstLine="426"/>
        <w:rPr>
          <w:b/>
          <w:lang w:val="en-US"/>
        </w:rPr>
      </w:pPr>
      <w:r w:rsidRPr="00707F94">
        <w:rPr>
          <w:b/>
          <w:lang w:val="en-US"/>
        </w:rPr>
        <w:t xml:space="preserve">Proposal 1 – </w:t>
      </w:r>
      <w:r w:rsidR="00680A16">
        <w:rPr>
          <w:b/>
          <w:lang w:val="en-US"/>
        </w:rPr>
        <w:t>Reprioritize</w:t>
      </w:r>
      <w:r w:rsidR="00CE6AD5">
        <w:rPr>
          <w:b/>
          <w:lang w:val="en-US"/>
        </w:rPr>
        <w:t xml:space="preserve"> the IAB SI to closure in Release 15 so that a WI can be started in Release 16 timeframe. The IAB WI direction discussions can be handled as a separate email thread just as other topics like “Broadcast” are being handled.</w:t>
      </w:r>
    </w:p>
    <w:p w:rsidR="004E736E" w:rsidRPr="004E736E" w:rsidRDefault="004E736E" w:rsidP="004E736E">
      <w:pPr>
        <w:ind w:left="0" w:firstLine="426"/>
        <w:rPr>
          <w:lang w:val="en-US"/>
        </w:rPr>
      </w:pPr>
    </w:p>
    <w:p w:rsidR="00BE6910" w:rsidRDefault="00BE6910" w:rsidP="00C956D3">
      <w:pPr>
        <w:ind w:left="0"/>
        <w:rPr>
          <w:lang w:val="en-US"/>
        </w:rPr>
      </w:pP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-73494</wp:posOffset>
                </wp:positionH>
                <wp:positionV relativeFrom="paragraph">
                  <wp:posOffset>357229</wp:posOffset>
                </wp:positionV>
                <wp:extent cx="5724939" cy="596348"/>
                <wp:effectExtent l="0" t="0" r="28575" b="13335"/>
                <wp:wrapNone/>
                <wp:docPr id="5" name="Rectangle 5"/>
                <wp:cNvGraphicFramePr/>
                <a:graphic xmlns:a="http://schemas.openxmlformats.org/drawingml/2006/main">
                  <a:graphicData uri="http://schemas.microsoft.com/office/word/2010/wordprocessingShape">
                    <wps:wsp>
                      <wps:cNvSpPr/>
                      <wps:spPr>
                        <a:xfrm>
                          <a:off x="0" y="0"/>
                          <a:ext cx="5724939" cy="59634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6050CD" id="Rectangle 5" o:spid="_x0000_s1026" style="position:absolute;margin-left:-5.8pt;margin-top:28.15pt;width:450.8pt;height:46.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" filled="f" strokecolor="#1f4d78 [1604]" strokeweight="1pt"/>
            </w:pict>
          </mc:Fallback>
        </mc:AlternateContent>
      </w:r>
      <w:r>
        <w:rPr>
          <w:lang w:val="en-US"/>
        </w:rPr>
        <w:t xml:space="preserve">It should also be noted that the wireline access to reach the last mile is the toughest constraint to fiber penetration. </w:t>
      </w:r>
    </w:p>
    <w:p w:rsidR="00BE6910" w:rsidRDefault="00BE6910" w:rsidP="00C956D3">
      <w:pPr>
        <w:ind w:left="0"/>
        <w:rPr>
          <w:lang w:val="en-US"/>
        </w:rPr>
      </w:pPr>
      <w:r w:rsidRPr="00BE6910">
        <w:rPr>
          <w:lang w:val="en-US"/>
        </w:rPr>
        <w:t xml:space="preserve">A Utility Infrastructure Law commonly quoted by engineers says, "The closer you get to the home, the more investment is needed, averaged per home connected." This law applies to all parts of the physical network, like water pipes, sewage pipes, and electricity cables. </w:t>
      </w:r>
      <w:r>
        <w:rPr>
          <w:lang w:val="en-US"/>
        </w:rPr>
        <w:t>The same holds true for fiber penetration as well.</w:t>
      </w:r>
    </w:p>
    <w:p w:rsidR="00BE6910" w:rsidRDefault="00BE6910" w:rsidP="00C956D3">
      <w:pPr>
        <w:ind w:left="0"/>
        <w:rPr>
          <w:lang w:val="en-US"/>
        </w:rPr>
      </w:pPr>
    </w:p>
    <w:p w:rsidR="001D26EC" w:rsidRPr="000C3D82" w:rsidRDefault="001D26EC" w:rsidP="001D26EC">
      <w:pPr>
        <w:ind w:left="0" w:firstLine="426"/>
        <w:rPr>
          <w:b/>
        </w:rPr>
      </w:pPr>
      <w:r w:rsidRPr="000C3D82">
        <w:rPr>
          <w:b/>
        </w:rPr>
        <w:t xml:space="preserve">Observation </w:t>
      </w:r>
      <w:r>
        <w:rPr>
          <w:b/>
        </w:rPr>
        <w:t>3</w:t>
      </w:r>
      <w:r w:rsidRPr="000C3D82">
        <w:rPr>
          <w:b/>
        </w:rPr>
        <w:t xml:space="preserve"> – </w:t>
      </w:r>
      <w:r>
        <w:rPr>
          <w:b/>
        </w:rPr>
        <w:t>Single hop wireless backhaul is of more utility than a multi hop wireless backhaul.</w:t>
      </w:r>
    </w:p>
    <w:p w:rsidR="001D26EC" w:rsidRPr="001D26EC" w:rsidRDefault="001D26EC" w:rsidP="001D26EC">
      <w:pPr>
        <w:ind w:left="0" w:firstLine="426"/>
        <w:rPr>
          <w:b/>
        </w:rPr>
      </w:pPr>
      <w:r w:rsidRPr="001D26EC">
        <w:rPr>
          <w:b/>
        </w:rPr>
        <w:t xml:space="preserve">Proposal </w:t>
      </w:r>
      <w:r>
        <w:rPr>
          <w:b/>
        </w:rPr>
        <w:t>2</w:t>
      </w:r>
      <w:r w:rsidRPr="001D26EC">
        <w:rPr>
          <w:b/>
        </w:rPr>
        <w:t xml:space="preserve"> – </w:t>
      </w:r>
      <w:r>
        <w:rPr>
          <w:b/>
        </w:rPr>
        <w:t>P</w:t>
      </w:r>
      <w:r w:rsidRPr="001D26EC">
        <w:rPr>
          <w:b/>
        </w:rPr>
        <w:t xml:space="preserve">rioritize </w:t>
      </w:r>
      <w:r>
        <w:rPr>
          <w:b/>
        </w:rPr>
        <w:t>Single Hop IAB over multi hop scenario.</w:t>
      </w:r>
    </w:p>
    <w:p w:rsidR="004E736E" w:rsidRDefault="004E736E" w:rsidP="004E736E">
      <w:pPr>
        <w:ind w:left="0" w:firstLine="426"/>
        <w:rPr>
          <w:lang w:val="en-US"/>
        </w:rPr>
      </w:pPr>
    </w:p>
    <w:p w:rsidR="003D454E" w:rsidRDefault="003D454E" w:rsidP="003D454E">
      <w:pPr>
        <w:ind w:left="0"/>
        <w:rPr>
          <w:lang w:val="en-US"/>
        </w:rPr>
      </w:pPr>
      <w:r>
        <w:rPr>
          <w:lang w:val="en-US"/>
        </w:rPr>
        <w:t>3GPP should also take note of the backhaul technologies emerging in IEEE especially in the 60Ghz band. It can be commented that any 3GPP developed technology such as IAB, deployed over 5G licensed bands can be far more cost effective per link (economies of scale) than what is being developed in IEEE (or via the Terragraph project)</w:t>
      </w:r>
    </w:p>
    <w:p w:rsidR="003D454E" w:rsidRDefault="003D454E" w:rsidP="004E736E">
      <w:pPr>
        <w:ind w:left="0" w:firstLine="426"/>
        <w:rPr>
          <w:lang w:val="en-US"/>
        </w:rPr>
      </w:pPr>
    </w:p>
    <w:p w:rsidR="009921FE" w:rsidRPr="000C3D82" w:rsidRDefault="009921FE" w:rsidP="009921FE">
      <w:pPr>
        <w:ind w:left="0" w:firstLine="426"/>
        <w:rPr>
          <w:b/>
        </w:rPr>
      </w:pPr>
      <w:r w:rsidRPr="000C3D82">
        <w:rPr>
          <w:b/>
        </w:rPr>
        <w:t xml:space="preserve">Observation </w:t>
      </w:r>
      <w:r>
        <w:rPr>
          <w:b/>
        </w:rPr>
        <w:t>4</w:t>
      </w:r>
      <w:r w:rsidRPr="000C3D82">
        <w:rPr>
          <w:b/>
        </w:rPr>
        <w:t xml:space="preserve"> – </w:t>
      </w:r>
      <w:r>
        <w:rPr>
          <w:b/>
        </w:rPr>
        <w:t>IAB can be more cost effective than competing</w:t>
      </w:r>
      <w:bookmarkStart w:id="2" w:name="_GoBack"/>
      <w:bookmarkEnd w:id="2"/>
      <w:r>
        <w:rPr>
          <w:b/>
        </w:rPr>
        <w:t xml:space="preserve"> wireless backhaul technologies.</w:t>
      </w:r>
    </w:p>
    <w:p w:rsidR="009921FE" w:rsidRPr="004E736E" w:rsidRDefault="009921FE" w:rsidP="004E736E">
      <w:pPr>
        <w:ind w:left="0" w:firstLine="426"/>
        <w:rPr>
          <w:lang w:val="en-US"/>
        </w:rPr>
      </w:pPr>
    </w:p>
    <w:p w:rsidR="00E82F90" w:rsidRDefault="00615AD7" w:rsidP="00615AD7">
      <w:pPr>
        <w:pStyle w:val="Heading1"/>
        <w:numPr>
          <w:ilvl w:val="0"/>
          <w:numId w:val="1"/>
        </w:numPr>
      </w:pPr>
      <w:r>
        <w:t>Proposal</w:t>
      </w:r>
      <w:r w:rsidR="005037E2">
        <w:t>s</w:t>
      </w:r>
    </w:p>
    <w:p w:rsidR="000E0FD7" w:rsidRDefault="000E0FD7" w:rsidP="000E0FD7">
      <w:pPr>
        <w:ind w:left="0" w:firstLine="426"/>
        <w:rPr>
          <w:lang w:val="en-US"/>
        </w:rPr>
      </w:pPr>
      <w:r>
        <w:rPr>
          <w:lang w:val="en-US"/>
        </w:rPr>
        <w:t xml:space="preserve">Based on the </w:t>
      </w:r>
      <w:r w:rsidR="00A70A57">
        <w:rPr>
          <w:lang w:val="en-US"/>
        </w:rPr>
        <w:t>above considerations</w:t>
      </w:r>
      <w:r>
        <w:rPr>
          <w:lang w:val="en-US"/>
        </w:rPr>
        <w:t>, we propose:</w:t>
      </w:r>
    </w:p>
    <w:p w:rsidR="000E0FD7" w:rsidRDefault="000E0FD7" w:rsidP="000E0FD7">
      <w:pPr>
        <w:ind w:left="0" w:firstLine="426"/>
        <w:rPr>
          <w:b/>
          <w:lang w:val="en-US"/>
        </w:rPr>
      </w:pPr>
      <w:r w:rsidRPr="00707F94">
        <w:rPr>
          <w:b/>
          <w:lang w:val="en-US"/>
        </w:rPr>
        <w:t xml:space="preserve">Proposal 1 – </w:t>
      </w:r>
      <w:r w:rsidR="0070007B">
        <w:rPr>
          <w:b/>
          <w:lang w:val="en-US"/>
        </w:rPr>
        <w:t>Reprioritize the IAB Study Item closure in Release 15 and the WI discussions be started for Release 16 timeframe just as other release 16 items are being discussed on the “RAN_DRAFTS” reflector</w:t>
      </w:r>
      <w:r w:rsidR="006C5CB8">
        <w:rPr>
          <w:b/>
          <w:lang w:val="en-US"/>
        </w:rPr>
        <w:t>.</w:t>
      </w:r>
    </w:p>
    <w:p w:rsidR="001D26EC" w:rsidRDefault="001D26EC" w:rsidP="000E0FD7">
      <w:pPr>
        <w:ind w:left="0" w:firstLine="426"/>
        <w:rPr>
          <w:b/>
          <w:lang w:val="en-US"/>
        </w:rPr>
      </w:pPr>
    </w:p>
    <w:p w:rsidR="001D26EC" w:rsidRDefault="001D26EC" w:rsidP="001D26EC">
      <w:pPr>
        <w:ind w:left="0" w:firstLine="426"/>
        <w:rPr>
          <w:b/>
        </w:rPr>
      </w:pPr>
      <w:r w:rsidRPr="001D26EC">
        <w:rPr>
          <w:b/>
        </w:rPr>
        <w:t xml:space="preserve">Proposal </w:t>
      </w:r>
      <w:r>
        <w:rPr>
          <w:b/>
        </w:rPr>
        <w:t>2</w:t>
      </w:r>
      <w:r w:rsidRPr="001D26EC">
        <w:rPr>
          <w:b/>
        </w:rPr>
        <w:t xml:space="preserve"> – </w:t>
      </w:r>
      <w:r>
        <w:rPr>
          <w:b/>
        </w:rPr>
        <w:t>P</w:t>
      </w:r>
      <w:r w:rsidRPr="001D26EC">
        <w:rPr>
          <w:b/>
        </w:rPr>
        <w:t xml:space="preserve">rioritize </w:t>
      </w:r>
      <w:r>
        <w:rPr>
          <w:b/>
        </w:rPr>
        <w:t>Single Hop IAB over multi hop scenario.</w:t>
      </w:r>
    </w:p>
    <w:p w:rsidR="001D26EC" w:rsidRPr="001D26EC" w:rsidRDefault="001D26EC" w:rsidP="001D26EC">
      <w:pPr>
        <w:ind w:left="0" w:firstLine="426"/>
        <w:rPr>
          <w:b/>
        </w:rPr>
      </w:pPr>
    </w:p>
    <w:p w:rsidR="001D26EC" w:rsidRPr="001D26EC" w:rsidRDefault="001D26EC" w:rsidP="001D26EC">
      <w:pPr>
        <w:ind w:left="0" w:firstLine="426"/>
        <w:rPr>
          <w:b/>
        </w:rPr>
      </w:pPr>
      <w:r w:rsidRPr="001D26EC">
        <w:rPr>
          <w:b/>
        </w:rPr>
        <w:t xml:space="preserve">Proposal </w:t>
      </w:r>
      <w:r>
        <w:rPr>
          <w:b/>
        </w:rPr>
        <w:t>3</w:t>
      </w:r>
      <w:r w:rsidRPr="001D26EC">
        <w:rPr>
          <w:b/>
        </w:rPr>
        <w:t xml:space="preserve"> – </w:t>
      </w:r>
      <w:r>
        <w:rPr>
          <w:b/>
        </w:rPr>
        <w:t>LTE access over NR backhaul be</w:t>
      </w:r>
      <w:r w:rsidRPr="001D26EC">
        <w:rPr>
          <w:b/>
        </w:rPr>
        <w:t xml:space="preserve"> studied with </w:t>
      </w:r>
      <w:r>
        <w:rPr>
          <w:b/>
        </w:rPr>
        <w:t xml:space="preserve">the same priority as </w:t>
      </w:r>
      <w:r w:rsidRPr="001D26EC">
        <w:rPr>
          <w:b/>
        </w:rPr>
        <w:t>NR access over NR backhaul</w:t>
      </w:r>
    </w:p>
    <w:p w:rsidR="000E0FD7" w:rsidRDefault="000E0FD7" w:rsidP="000E0FD7">
      <w:pPr>
        <w:ind w:left="0" w:firstLine="426"/>
        <w:rPr>
          <w:lang w:val="en-US"/>
        </w:rPr>
      </w:pPr>
    </w:p>
    <w:p w:rsidR="001D26EC" w:rsidRDefault="001D26EC" w:rsidP="000E0FD7">
      <w:pPr>
        <w:ind w:left="0" w:firstLine="426"/>
        <w:rPr>
          <w:lang w:val="en-US"/>
        </w:rPr>
      </w:pPr>
    </w:p>
    <w:p w:rsidR="00A34462" w:rsidRDefault="00A34462" w:rsidP="00A34462">
      <w:pPr>
        <w:pStyle w:val="Heading1"/>
        <w:numPr>
          <w:ilvl w:val="0"/>
          <w:numId w:val="1"/>
        </w:numPr>
      </w:pPr>
      <w:r>
        <w:t>References</w:t>
      </w:r>
    </w:p>
    <w:p w:rsidR="005402B7" w:rsidRDefault="005402B7" w:rsidP="007043D6">
      <w:pPr>
        <w:pStyle w:val="EX"/>
        <w:ind w:left="0" w:firstLine="0"/>
      </w:pPr>
      <w:r w:rsidRPr="00186AAF">
        <w:t>[1]</w:t>
      </w:r>
      <w:r w:rsidRPr="00186AAF">
        <w:tab/>
        <w:t>3GPP T</w:t>
      </w:r>
      <w:r>
        <w:t>R 38.874</w:t>
      </w:r>
      <w:r w:rsidRPr="00186AAF">
        <w:t>: "</w:t>
      </w:r>
      <w:r w:rsidRPr="005402B7">
        <w:t>Study on Integrated Access and Backhaul</w:t>
      </w:r>
      <w:r>
        <w:t>”</w:t>
      </w:r>
      <w:r w:rsidRPr="00186AAF">
        <w:t>.</w:t>
      </w:r>
    </w:p>
    <w:p w:rsidR="005402B7" w:rsidRDefault="005402B7" w:rsidP="007043D6">
      <w:pPr>
        <w:pStyle w:val="EX"/>
        <w:ind w:left="0" w:firstLine="0"/>
      </w:pPr>
      <w:r>
        <w:t>[2]</w:t>
      </w:r>
      <w:r w:rsidR="007043D6">
        <w:tab/>
      </w:r>
      <w:r w:rsidR="0053303A">
        <w:t>3GPP RP-172290, “</w:t>
      </w:r>
      <w:r w:rsidR="0053303A" w:rsidRPr="00C63919">
        <w:t>Study on Integrated Access and Backhaul for NR</w:t>
      </w:r>
      <w:r w:rsidR="0053303A">
        <w:t>”</w:t>
      </w:r>
    </w:p>
    <w:p w:rsidR="007043D6" w:rsidRPr="00186AAF" w:rsidRDefault="007043D6" w:rsidP="007043D6">
      <w:pPr>
        <w:pStyle w:val="EX"/>
        <w:ind w:left="0" w:firstLine="0"/>
      </w:pPr>
      <w:r>
        <w:t>[3]</w:t>
      </w:r>
      <w:r>
        <w:tab/>
        <w:t>Trends in Telecommunication Reform 2016: new edition of ITU’s flagship ICT regulatory report</w:t>
      </w:r>
    </w:p>
    <w:sectPr w:rsidR="007043D6" w:rsidRPr="00186AAF" w:rsidSect="00E07DF7">
      <w:pgSz w:w="11906" w:h="16838"/>
      <w:pgMar w:top="1417" w:right="1701"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678" w:rsidRDefault="00B45678">
      <w:pPr>
        <w:spacing w:after="0"/>
      </w:pPr>
    </w:p>
  </w:endnote>
  <w:endnote w:type="continuationSeparator" w:id="0">
    <w:p w:rsidR="00B45678" w:rsidRDefault="00B456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panose1 w:val="00000000000000000000"/>
    <w:charset w:val="80"/>
    <w:family w:val="roman"/>
    <w:notTrueType/>
    <w:pitch w:val="default"/>
  </w:font>
  <w:font w:name="等线 Light">
    <w:panose1 w:val="00000000000000000000"/>
    <w:charset w:val="80"/>
    <w:family w:val="roman"/>
    <w:notTrueType/>
    <w:pitch w:val="default"/>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678" w:rsidRDefault="00B45678">
      <w:pPr>
        <w:spacing w:after="0"/>
      </w:pPr>
    </w:p>
  </w:footnote>
  <w:footnote w:type="continuationSeparator" w:id="0">
    <w:p w:rsidR="00B45678" w:rsidRDefault="00B4567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2">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3">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2C250AC"/>
    <w:multiLevelType w:val="hybridMultilevel"/>
    <w:tmpl w:val="B380AD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6">
    <w:nsid w:val="4C4C3DEE"/>
    <w:multiLevelType w:val="hybridMultilevel"/>
    <w:tmpl w:val="4CB2D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8">
    <w:nsid w:val="60A26E2E"/>
    <w:multiLevelType w:val="hybridMultilevel"/>
    <w:tmpl w:val="767A88EC"/>
    <w:lvl w:ilvl="0" w:tplc="E4542EE2">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71E3635E"/>
    <w:multiLevelType w:val="hybridMultilevel"/>
    <w:tmpl w:val="8D8CCED4"/>
    <w:lvl w:ilvl="0" w:tplc="9664ECA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0"/>
  </w:num>
  <w:num w:numId="2">
    <w:abstractNumId w:val="7"/>
  </w:num>
  <w:num w:numId="3">
    <w:abstractNumId w:val="5"/>
  </w:num>
  <w:num w:numId="4">
    <w:abstractNumId w:val="4"/>
  </w:num>
  <w:num w:numId="5">
    <w:abstractNumId w:val="3"/>
  </w:num>
  <w:num w:numId="6">
    <w:abstractNumId w:val="0"/>
  </w:num>
  <w:num w:numId="7">
    <w:abstractNumId w:val="1"/>
  </w:num>
  <w:num w:numId="8">
    <w:abstractNumId w:val="2"/>
  </w:num>
  <w:num w:numId="9">
    <w:abstractNumId w:val="9"/>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ED3"/>
    <w:rsid w:val="00051420"/>
    <w:rsid w:val="00055BE0"/>
    <w:rsid w:val="00057251"/>
    <w:rsid w:val="0005726D"/>
    <w:rsid w:val="000622B2"/>
    <w:rsid w:val="00064F53"/>
    <w:rsid w:val="00065260"/>
    <w:rsid w:val="00070B4A"/>
    <w:rsid w:val="00070DB3"/>
    <w:rsid w:val="000C3D82"/>
    <w:rsid w:val="000E0FD7"/>
    <w:rsid w:val="000E77D5"/>
    <w:rsid w:val="00147BA6"/>
    <w:rsid w:val="00175E61"/>
    <w:rsid w:val="001847FA"/>
    <w:rsid w:val="001D26EC"/>
    <w:rsid w:val="001D4EAC"/>
    <w:rsid w:val="001F4678"/>
    <w:rsid w:val="00212B92"/>
    <w:rsid w:val="00245669"/>
    <w:rsid w:val="00256686"/>
    <w:rsid w:val="00276DCB"/>
    <w:rsid w:val="00277123"/>
    <w:rsid w:val="002A7C2D"/>
    <w:rsid w:val="002E65DF"/>
    <w:rsid w:val="002F2EC7"/>
    <w:rsid w:val="00323F6B"/>
    <w:rsid w:val="0036383B"/>
    <w:rsid w:val="003A6905"/>
    <w:rsid w:val="003D454E"/>
    <w:rsid w:val="00413D47"/>
    <w:rsid w:val="004514C5"/>
    <w:rsid w:val="00461A73"/>
    <w:rsid w:val="004635D6"/>
    <w:rsid w:val="00463ABD"/>
    <w:rsid w:val="00465ED3"/>
    <w:rsid w:val="004814C2"/>
    <w:rsid w:val="004B4EBE"/>
    <w:rsid w:val="004E736E"/>
    <w:rsid w:val="005037E2"/>
    <w:rsid w:val="0053303A"/>
    <w:rsid w:val="005402B7"/>
    <w:rsid w:val="005410D6"/>
    <w:rsid w:val="005936E9"/>
    <w:rsid w:val="005C0B67"/>
    <w:rsid w:val="005F3806"/>
    <w:rsid w:val="00615AD7"/>
    <w:rsid w:val="00680A16"/>
    <w:rsid w:val="006C5CB8"/>
    <w:rsid w:val="006F4FA5"/>
    <w:rsid w:val="0070007B"/>
    <w:rsid w:val="007043D6"/>
    <w:rsid w:val="00707F94"/>
    <w:rsid w:val="00722E9B"/>
    <w:rsid w:val="00727638"/>
    <w:rsid w:val="0073439A"/>
    <w:rsid w:val="00740115"/>
    <w:rsid w:val="007E5CE0"/>
    <w:rsid w:val="0081089F"/>
    <w:rsid w:val="00810A79"/>
    <w:rsid w:val="00825D45"/>
    <w:rsid w:val="00864B3A"/>
    <w:rsid w:val="0088321A"/>
    <w:rsid w:val="00885662"/>
    <w:rsid w:val="008B6114"/>
    <w:rsid w:val="00905A4F"/>
    <w:rsid w:val="009413BA"/>
    <w:rsid w:val="00946524"/>
    <w:rsid w:val="009711D6"/>
    <w:rsid w:val="00983943"/>
    <w:rsid w:val="009921FE"/>
    <w:rsid w:val="009B4500"/>
    <w:rsid w:val="00A23121"/>
    <w:rsid w:val="00A30691"/>
    <w:rsid w:val="00A34462"/>
    <w:rsid w:val="00A70A57"/>
    <w:rsid w:val="00AA1945"/>
    <w:rsid w:val="00AC7893"/>
    <w:rsid w:val="00B11D15"/>
    <w:rsid w:val="00B2375C"/>
    <w:rsid w:val="00B34E6C"/>
    <w:rsid w:val="00B44D30"/>
    <w:rsid w:val="00B45678"/>
    <w:rsid w:val="00B70951"/>
    <w:rsid w:val="00B87B72"/>
    <w:rsid w:val="00B87EE4"/>
    <w:rsid w:val="00BD52EB"/>
    <w:rsid w:val="00BE6910"/>
    <w:rsid w:val="00BF537F"/>
    <w:rsid w:val="00C528E8"/>
    <w:rsid w:val="00C877BE"/>
    <w:rsid w:val="00C956D3"/>
    <w:rsid w:val="00CE6AD5"/>
    <w:rsid w:val="00CF3824"/>
    <w:rsid w:val="00D23D13"/>
    <w:rsid w:val="00D31F13"/>
    <w:rsid w:val="00D33C60"/>
    <w:rsid w:val="00D37315"/>
    <w:rsid w:val="00D93574"/>
    <w:rsid w:val="00D97B93"/>
    <w:rsid w:val="00DA582D"/>
    <w:rsid w:val="00E074FE"/>
    <w:rsid w:val="00E07DF7"/>
    <w:rsid w:val="00E16F92"/>
    <w:rsid w:val="00E24A17"/>
    <w:rsid w:val="00E266D3"/>
    <w:rsid w:val="00E65925"/>
    <w:rsid w:val="00E66B34"/>
    <w:rsid w:val="00E82F90"/>
    <w:rsid w:val="00E83A8B"/>
    <w:rsid w:val="00E87BE6"/>
    <w:rsid w:val="00EA16AF"/>
    <w:rsid w:val="00EA17E6"/>
    <w:rsid w:val="00EA257E"/>
    <w:rsid w:val="00EC1DD9"/>
    <w:rsid w:val="00EC2E19"/>
    <w:rsid w:val="00ED21E9"/>
    <w:rsid w:val="00ED412F"/>
    <w:rsid w:val="00F0320A"/>
    <w:rsid w:val="00F03648"/>
    <w:rsid w:val="00F33607"/>
    <w:rsid w:val="00F3704B"/>
    <w:rsid w:val="00F865FE"/>
    <w:rsid w:val="00F9048E"/>
    <w:rsid w:val="00F96B6C"/>
    <w:rsid w:val="00FC34F8"/>
    <w:rsid w:val="00FD22B5"/>
    <w:rsid w:val="00FF23DC"/>
    <w:rsid w:val="00FF353D"/>
    <w:rsid w:val="00FF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B1195D-0656-4ABC-93CB-DD3ED4C21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1089F"/>
    <w:pPr>
      <w:widowControl w:val="0"/>
      <w:spacing w:after="120"/>
      <w:ind w:left="360"/>
    </w:pPr>
    <w:rPr>
      <w:rFonts w:ascii="Times New Roman" w:eastAsia="SimSun" w:hAnsi="Times New Roman" w:cs="Times New Roman"/>
      <w:iCs/>
      <w:color w:val="000000"/>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color w:val="auto"/>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rPr>
  </w:style>
  <w:style w:type="paragraph" w:customStyle="1" w:styleId="TAC">
    <w:name w:val="TAC"/>
    <w:basedOn w:val="Normal"/>
    <w:link w:val="TACChar"/>
    <w:rsid w:val="00E07DF7"/>
    <w:pPr>
      <w:keepNext/>
      <w:keepLines/>
      <w:spacing w:after="0"/>
      <w:jc w:val="center"/>
    </w:pPr>
    <w:rPr>
      <w:rFonts w:ascii="Arial" w:eastAsiaTheme="minorHAnsi" w:hAnsi="Arial" w:cs="Arial"/>
      <w:iCs w:val="0"/>
      <w:color w:val="auto"/>
      <w:sz w:val="18"/>
      <w:szCs w:val="18"/>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rPr>
  </w:style>
  <w:style w:type="paragraph" w:customStyle="1" w:styleId="TAL">
    <w:name w:val="TAL"/>
    <w:basedOn w:val="Normal"/>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3704B"/>
    <w:pPr>
      <w:widowControl/>
      <w:spacing w:before="100" w:beforeAutospacing="1" w:after="100" w:afterAutospacing="1"/>
      <w:ind w:left="0"/>
      <w:jc w:val="left"/>
    </w:pPr>
    <w:rPr>
      <w:rFonts w:eastAsia="Times New Roman"/>
      <w:iCs w:val="0"/>
      <w:color w:val="auto"/>
      <w:sz w:val="24"/>
      <w:szCs w:val="24"/>
      <w:lang w:eastAsia="en-GB"/>
    </w:rPr>
  </w:style>
  <w:style w:type="paragraph" w:styleId="BalloonText">
    <w:name w:val="Balloon Text"/>
    <w:basedOn w:val="Normal"/>
    <w:link w:val="BalloonTextChar"/>
    <w:uiPriority w:val="99"/>
    <w:semiHidden/>
    <w:unhideWhenUsed/>
    <w:rsid w:val="00463AB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ABD"/>
    <w:rPr>
      <w:rFonts w:ascii="Segoe UI" w:eastAsia="SimSun" w:hAnsi="Segoe UI" w:cs="Segoe UI"/>
      <w:iCs/>
      <w:color w:val="000000"/>
      <w:sz w:val="18"/>
      <w:szCs w:val="18"/>
      <w:lang w:val="en-GB" w:eastAsia="ja-JP"/>
    </w:rPr>
  </w:style>
  <w:style w:type="paragraph" w:styleId="DocumentMap">
    <w:name w:val="Document Map"/>
    <w:basedOn w:val="Normal"/>
    <w:link w:val="DocumentMapChar"/>
    <w:uiPriority w:val="99"/>
    <w:semiHidden/>
    <w:unhideWhenUsed/>
    <w:rsid w:val="004514C5"/>
    <w:rPr>
      <w:rFonts w:ascii="SimSun"/>
      <w:sz w:val="18"/>
      <w:szCs w:val="18"/>
    </w:rPr>
  </w:style>
  <w:style w:type="character" w:customStyle="1" w:styleId="DocumentMapChar">
    <w:name w:val="Document Map Char"/>
    <w:basedOn w:val="DefaultParagraphFont"/>
    <w:link w:val="DocumentMap"/>
    <w:uiPriority w:val="99"/>
    <w:semiHidden/>
    <w:rsid w:val="004514C5"/>
    <w:rPr>
      <w:rFonts w:ascii="SimSun" w:eastAsia="SimSun" w:hAnsi="Times New Roman" w:cs="Times New Roman"/>
      <w:iCs/>
      <w:color w:val="000000"/>
      <w:sz w:val="18"/>
      <w:szCs w:val="18"/>
      <w:lang w:val="en-GB" w:eastAsia="ja-JP"/>
    </w:rPr>
  </w:style>
  <w:style w:type="paragraph" w:styleId="Footer">
    <w:name w:val="footer"/>
    <w:basedOn w:val="Normal"/>
    <w:link w:val="FooterChar"/>
    <w:uiPriority w:val="99"/>
    <w:semiHidden/>
    <w:unhideWhenUsed/>
    <w:rsid w:val="004514C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4514C5"/>
    <w:rPr>
      <w:rFonts w:ascii="Times New Roman" w:eastAsia="SimSun" w:hAnsi="Times New Roman" w:cs="Times New Roman"/>
      <w:iCs/>
      <w:color w:val="000000"/>
      <w:sz w:val="18"/>
      <w:szCs w:val="18"/>
      <w:lang w:val="en-GB" w:eastAsia="ja-JP"/>
    </w:rPr>
  </w:style>
  <w:style w:type="character" w:styleId="CommentReference">
    <w:name w:val="annotation reference"/>
    <w:basedOn w:val="DefaultParagraphFont"/>
    <w:uiPriority w:val="99"/>
    <w:semiHidden/>
    <w:unhideWhenUsed/>
    <w:rsid w:val="00905A4F"/>
    <w:rPr>
      <w:sz w:val="16"/>
      <w:szCs w:val="16"/>
    </w:rPr>
  </w:style>
  <w:style w:type="paragraph" w:styleId="CommentText">
    <w:name w:val="annotation text"/>
    <w:basedOn w:val="Normal"/>
    <w:link w:val="CommentTextChar"/>
    <w:uiPriority w:val="99"/>
    <w:semiHidden/>
    <w:unhideWhenUsed/>
    <w:rsid w:val="00905A4F"/>
  </w:style>
  <w:style w:type="character" w:customStyle="1" w:styleId="CommentTextChar">
    <w:name w:val="Comment Text Char"/>
    <w:basedOn w:val="DefaultParagraphFont"/>
    <w:link w:val="CommentText"/>
    <w:uiPriority w:val="99"/>
    <w:semiHidden/>
    <w:rsid w:val="00905A4F"/>
    <w:rPr>
      <w:rFonts w:ascii="Times New Roman" w:eastAsia="SimSun" w:hAnsi="Times New Roman" w:cs="Times New Roman"/>
      <w:iCs/>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905A4F"/>
    <w:rPr>
      <w:b/>
      <w:bCs/>
    </w:rPr>
  </w:style>
  <w:style w:type="character" w:customStyle="1" w:styleId="CommentSubjectChar">
    <w:name w:val="Comment Subject Char"/>
    <w:basedOn w:val="CommentTextChar"/>
    <w:link w:val="CommentSubject"/>
    <w:uiPriority w:val="99"/>
    <w:semiHidden/>
    <w:rsid w:val="00905A4F"/>
    <w:rPr>
      <w:rFonts w:ascii="Times New Roman" w:eastAsia="SimSun" w:hAnsi="Times New Roman" w:cs="Times New Roman"/>
      <w:b/>
      <w:bCs/>
      <w:iCs/>
      <w:color w:val="000000"/>
      <w:sz w:val="20"/>
      <w:szCs w:val="20"/>
      <w:lang w:val="en-GB" w:eastAsia="ja-JP"/>
    </w:rPr>
  </w:style>
  <w:style w:type="paragraph" w:customStyle="1" w:styleId="EX">
    <w:name w:val="EX"/>
    <w:basedOn w:val="Normal"/>
    <w:rsid w:val="005402B7"/>
    <w:pPr>
      <w:keepLines/>
      <w:widowControl/>
      <w:spacing w:after="180"/>
      <w:ind w:left="1702" w:hanging="1418"/>
      <w:jc w:val="left"/>
    </w:pPr>
    <w:rPr>
      <w:rFonts w:eastAsia="Yu Mincho"/>
      <w:iCs w:val="0"/>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357001">
      <w:bodyDiv w:val="1"/>
      <w:marLeft w:val="0"/>
      <w:marRight w:val="0"/>
      <w:marTop w:val="0"/>
      <w:marBottom w:val="0"/>
      <w:divBdr>
        <w:top w:val="none" w:sz="0" w:space="0" w:color="auto"/>
        <w:left w:val="none" w:sz="0" w:space="0" w:color="auto"/>
        <w:bottom w:val="none" w:sz="0" w:space="0" w:color="auto"/>
        <w:right w:val="none" w:sz="0" w:space="0" w:color="auto"/>
      </w:divBdr>
    </w:div>
    <w:div w:id="669715328">
      <w:bodyDiv w:val="1"/>
      <w:marLeft w:val="0"/>
      <w:marRight w:val="0"/>
      <w:marTop w:val="0"/>
      <w:marBottom w:val="0"/>
      <w:divBdr>
        <w:top w:val="none" w:sz="0" w:space="0" w:color="auto"/>
        <w:left w:val="none" w:sz="0" w:space="0" w:color="auto"/>
        <w:bottom w:val="none" w:sz="0" w:space="0" w:color="auto"/>
        <w:right w:val="none" w:sz="0" w:space="0" w:color="auto"/>
      </w:divBdr>
    </w:div>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1233276660">
      <w:bodyDiv w:val="1"/>
      <w:marLeft w:val="0"/>
      <w:marRight w:val="0"/>
      <w:marTop w:val="0"/>
      <w:marBottom w:val="0"/>
      <w:divBdr>
        <w:top w:val="none" w:sz="0" w:space="0" w:color="auto"/>
        <w:left w:val="none" w:sz="0" w:space="0" w:color="auto"/>
        <w:bottom w:val="none" w:sz="0" w:space="0" w:color="auto"/>
        <w:right w:val="none" w:sz="0" w:space="0" w:color="auto"/>
      </w:divBdr>
      <w:divsChild>
        <w:div w:id="310519559">
          <w:marLeft w:val="547"/>
          <w:marRight w:val="0"/>
          <w:marTop w:val="134"/>
          <w:marBottom w:val="0"/>
          <w:divBdr>
            <w:top w:val="none" w:sz="0" w:space="0" w:color="auto"/>
            <w:left w:val="none" w:sz="0" w:space="0" w:color="auto"/>
            <w:bottom w:val="none" w:sz="0" w:space="0" w:color="auto"/>
            <w:right w:val="none" w:sz="0" w:space="0" w:color="auto"/>
          </w:divBdr>
        </w:div>
        <w:div w:id="1069113460">
          <w:marLeft w:val="1166"/>
          <w:marRight w:val="0"/>
          <w:marTop w:val="96"/>
          <w:marBottom w:val="0"/>
          <w:divBdr>
            <w:top w:val="none" w:sz="0" w:space="0" w:color="auto"/>
            <w:left w:val="none" w:sz="0" w:space="0" w:color="auto"/>
            <w:bottom w:val="none" w:sz="0" w:space="0" w:color="auto"/>
            <w:right w:val="none" w:sz="0" w:space="0" w:color="auto"/>
          </w:divBdr>
        </w:div>
        <w:div w:id="567611668">
          <w:marLeft w:val="1166"/>
          <w:marRight w:val="0"/>
          <w:marTop w:val="96"/>
          <w:marBottom w:val="0"/>
          <w:divBdr>
            <w:top w:val="none" w:sz="0" w:space="0" w:color="auto"/>
            <w:left w:val="none" w:sz="0" w:space="0" w:color="auto"/>
            <w:bottom w:val="none" w:sz="0" w:space="0" w:color="auto"/>
            <w:right w:val="none" w:sz="0" w:space="0" w:color="auto"/>
          </w:divBdr>
        </w:div>
        <w:div w:id="765923406">
          <w:marLeft w:val="547"/>
          <w:marRight w:val="0"/>
          <w:marTop w:val="134"/>
          <w:marBottom w:val="0"/>
          <w:divBdr>
            <w:top w:val="none" w:sz="0" w:space="0" w:color="auto"/>
            <w:left w:val="none" w:sz="0" w:space="0" w:color="auto"/>
            <w:bottom w:val="none" w:sz="0" w:space="0" w:color="auto"/>
            <w:right w:val="none" w:sz="0" w:space="0" w:color="auto"/>
          </w:divBdr>
        </w:div>
        <w:div w:id="1096245464">
          <w:marLeft w:val="547"/>
          <w:marRight w:val="0"/>
          <w:marTop w:val="134"/>
          <w:marBottom w:val="0"/>
          <w:divBdr>
            <w:top w:val="none" w:sz="0" w:space="0" w:color="auto"/>
            <w:left w:val="none" w:sz="0" w:space="0" w:color="auto"/>
            <w:bottom w:val="none" w:sz="0" w:space="0" w:color="auto"/>
            <w:right w:val="none" w:sz="0" w:space="0" w:color="auto"/>
          </w:divBdr>
        </w:div>
        <w:div w:id="1268729682">
          <w:marLeft w:val="1166"/>
          <w:marRight w:val="0"/>
          <w:marTop w:val="96"/>
          <w:marBottom w:val="0"/>
          <w:divBdr>
            <w:top w:val="none" w:sz="0" w:space="0" w:color="auto"/>
            <w:left w:val="none" w:sz="0" w:space="0" w:color="auto"/>
            <w:bottom w:val="none" w:sz="0" w:space="0" w:color="auto"/>
            <w:right w:val="none" w:sz="0" w:space="0" w:color="auto"/>
          </w:divBdr>
        </w:div>
        <w:div w:id="1431586376">
          <w:marLeft w:val="1166"/>
          <w:marRight w:val="0"/>
          <w:marTop w:val="96"/>
          <w:marBottom w:val="0"/>
          <w:divBdr>
            <w:top w:val="none" w:sz="0" w:space="0" w:color="auto"/>
            <w:left w:val="none" w:sz="0" w:space="0" w:color="auto"/>
            <w:bottom w:val="none" w:sz="0" w:space="0" w:color="auto"/>
            <w:right w:val="none" w:sz="0" w:space="0" w:color="auto"/>
          </w:divBdr>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2</Pages>
  <Words>604</Words>
  <Characters>3445</Characters>
  <Application>Microsoft Office Word</Application>
  <DocSecurity>0</DocSecurity>
  <Lines>28</Lines>
  <Paragraphs>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Vodafone</Company>
  <LinksUpToDate>false</LinksUpToDate>
  <CharactersWithSpaces>4041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 Tim, Vodafone Group</dc:creator>
  <cp:lastModifiedBy>Satish Jamadagni</cp:lastModifiedBy>
  <cp:revision>46</cp:revision>
  <dcterms:created xsi:type="dcterms:W3CDTF">2018-03-06T11:31:00Z</dcterms:created>
  <dcterms:modified xsi:type="dcterms:W3CDTF">2018-03-12T16:04:00Z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(2)TZ5SA/wculq9/XvQM3u2WaCOjY+8i6bp34VOu7lOTkODa/FcCnB973MV/VTqotDMySV0j73S
GD7q/WVIZxES3NehQ9D+COurBwqXvTLWBDlnPK3kLU12dDjXQHLjjUAlPbcnv5jpd8mwjdtV
N7DzPMKOR7ZrDbQpta9sLrj2caZFTzCcpJ8SIuKkvZk14kdxHJpCSdFlz5RaN6TFF8lL1/mf
zOQ5eRfPVtkzYMDbRS</vt:lpwstr>
  </property>
  <property fmtid="{D5CDD505-2E9C-101B-9397-08002B2CF9AE}" pid="4" name="_2015_ms_pID_7253431">
    <vt:lpwstr>TNvw2WKUR24INYp4dwrGjd5kcTRQ4kUHwVZGstqT44RwJ+tqWPKDiW
tLCtlBvfxDUCqbPQd1JXFMGEW14620O2qOPG3fTy3Kw6Xsmj7pcR0AffGTWHC319zWreYygF
lF4R4f8Rs2jmjkbBhottk96EBRVkDPGjseLdj9zu8g6XeSyb1UiZwDLDqqeWVYzphjo=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1513789066</vt:lpwstr>
  </property>
</Properties>
</file>